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lang w:val="zh-CN" w:eastAsia="zh-CN"/>
        </w:rPr>
      </w:pPr>
      <w:r>
        <w:rPr>
          <w:rFonts w:hint="eastAsia"/>
          <w:lang w:val="zh-CN" w:eastAsia="zh-CN"/>
        </w:rPr>
        <w:t>广东省中医药局2019年度行政审批和政务服务效能情况自评报告</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firstLine="760" w:firstLineChars="200"/>
        <w:jc w:val="left"/>
        <w:textAlignment w:val="auto"/>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firstLine="760" w:firstLineChars="200"/>
        <w:jc w:val="left"/>
        <w:textAlignment w:val="auto"/>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2019年，我局深化行政审批制度改革，进一步深化审批流程，提高审批效率，创新监管方式，切实提高公共服务水平，取得较好成效。主要工作情况如下：</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lang w:val="zh-CN" w:eastAsia="zh-CN" w:bidi="zh-CN"/>
        </w:rPr>
        <w:t>一、行政审批效能情况</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spacing w:val="0"/>
          <w:w w:val="100"/>
          <w:position w:val="0"/>
          <w:sz w:val="32"/>
          <w:szCs w:val="32"/>
          <w:lang w:val="zh-CN" w:eastAsia="zh-CN" w:bidi="zh-CN"/>
        </w:rPr>
        <w:t>(一）转变政府职能深化行政审批制度改革落实情况。</w:t>
      </w:r>
    </w:p>
    <w:p>
      <w:pPr>
        <w:pStyle w:val="10"/>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3" w:firstLineChars="200"/>
        <w:jc w:val="left"/>
        <w:textAlignment w:val="auto"/>
        <w:rPr>
          <w:rFonts w:hint="eastAsia" w:ascii="仿宋_GB2312" w:hAnsi="仿宋_GB2312" w:eastAsia="仿宋_GB2312" w:cs="仿宋_GB2312"/>
          <w:b/>
          <w:bCs/>
          <w:sz w:val="32"/>
          <w:szCs w:val="32"/>
        </w:rPr>
      </w:pPr>
      <w:bookmarkStart w:id="0" w:name="bookmark2"/>
      <w:r>
        <w:rPr>
          <w:rFonts w:hint="eastAsia" w:ascii="仿宋_GB2312" w:hAnsi="仿宋_GB2312" w:eastAsia="仿宋_GB2312" w:cs="仿宋_GB2312"/>
          <w:b/>
          <w:bCs/>
          <w:color w:val="000000"/>
          <w:spacing w:val="0"/>
          <w:w w:val="100"/>
          <w:position w:val="0"/>
          <w:sz w:val="32"/>
          <w:szCs w:val="32"/>
          <w:lang w:val="en-US" w:eastAsia="en-US" w:bidi="en-US"/>
        </w:rPr>
        <w:t>1.</w:t>
      </w:r>
      <w:r>
        <w:rPr>
          <w:rFonts w:hint="eastAsia" w:ascii="仿宋_GB2312" w:hAnsi="仿宋_GB2312" w:eastAsia="仿宋_GB2312" w:cs="仿宋_GB2312"/>
          <w:b/>
          <w:bCs/>
          <w:color w:val="000000"/>
          <w:spacing w:val="0"/>
          <w:w w:val="100"/>
          <w:position w:val="0"/>
          <w:sz w:val="32"/>
          <w:szCs w:val="32"/>
          <w:lang w:val="zh-CN" w:eastAsia="zh-CN" w:bidi="zh-CN"/>
        </w:rPr>
        <w:t>政府职能转变和职权调整落实情况。</w:t>
      </w:r>
      <w:bookmarkEnd w:id="0"/>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根据《广东省人民政府关于将一批省级行使职权事项调整由各地级以上市实施的决定》（广东省人民政府令248号），省中医药局的三项许可事项：省管权限内的中医医疗机构设置审批和执业许可、省属中医医疗机构执业医师注册发证、《医疗</w:t>
      </w:r>
      <w:r>
        <w:rPr>
          <w:rFonts w:hint="eastAsia" w:ascii="仿宋_GB2312" w:hAnsi="仿宋_GB2312" w:eastAsia="仿宋_GB2312" w:cs="仿宋_GB2312"/>
          <w:b w:val="0"/>
          <w:bCs w:val="0"/>
          <w:color w:val="000000"/>
          <w:w w:val="100"/>
          <w:position w:val="0"/>
          <w:sz w:val="32"/>
          <w:szCs w:val="32"/>
          <w:lang w:val="zh-CN" w:eastAsia="zh-CN" w:bidi="zh-CN"/>
        </w:rPr>
        <w:t>广告（中医类）审查证明》核发委托各地级以上市卫生计生行政部门实施。2018年</w:t>
      </w:r>
      <w:r>
        <w:rPr>
          <w:rFonts w:hint="eastAsia" w:ascii="仿宋_GB2312" w:hAnsi="仿宋_GB2312" w:eastAsia="仿宋_GB2312" w:cs="仿宋_GB2312"/>
          <w:b w:val="0"/>
          <w:bCs w:val="0"/>
          <w:color w:val="000000"/>
          <w:w w:val="100"/>
          <w:position w:val="0"/>
          <w:sz w:val="32"/>
          <w:szCs w:val="32"/>
          <w:lang w:val="en-US" w:eastAsia="zh-CN" w:bidi="zh-CN"/>
        </w:rPr>
        <w:t>1</w:t>
      </w:r>
      <w:r>
        <w:rPr>
          <w:rFonts w:hint="eastAsia" w:ascii="仿宋_GB2312" w:hAnsi="仿宋_GB2312" w:eastAsia="仿宋_GB2312" w:cs="仿宋_GB2312"/>
          <w:b w:val="0"/>
          <w:bCs w:val="0"/>
          <w:color w:val="000000"/>
          <w:w w:val="100"/>
          <w:position w:val="0"/>
          <w:sz w:val="32"/>
          <w:szCs w:val="32"/>
          <w:lang w:val="zh-CN" w:eastAsia="zh-CN" w:bidi="zh-CN"/>
        </w:rPr>
        <w:t>月30日原省卫生计生委与我局联合发出《广东省卫生计生委广东省中医药局关于印发将一批省级行政职权事项调整由各地级以上市实施工</w:t>
      </w:r>
      <w:r>
        <w:rPr>
          <w:rStyle w:val="11"/>
          <w:rFonts w:hint="eastAsia" w:ascii="仿宋_GB2312" w:hAnsi="仿宋_GB2312" w:eastAsia="仿宋_GB2312" w:cs="仿宋_GB2312"/>
          <w:b w:val="0"/>
          <w:bCs w:val="0"/>
          <w:i w:val="0"/>
          <w:iCs w:val="0"/>
          <w:smallCaps w:val="0"/>
          <w:strike w:val="0"/>
          <w:sz w:val="32"/>
          <w:szCs w:val="32"/>
          <w:lang w:eastAsia="zh-CN"/>
        </w:rPr>
        <w:t>作方</w:t>
      </w:r>
      <w:r>
        <w:rPr>
          <w:rFonts w:hint="eastAsia" w:ascii="仿宋_GB2312" w:hAnsi="仿宋_GB2312" w:eastAsia="仿宋_GB2312" w:cs="仿宋_GB2312"/>
          <w:b w:val="0"/>
          <w:bCs w:val="0"/>
          <w:color w:val="000000"/>
          <w:w w:val="100"/>
          <w:position w:val="0"/>
          <w:sz w:val="32"/>
          <w:szCs w:val="32"/>
          <w:lang w:val="zh-CN" w:eastAsia="zh-CN" w:bidi="zh-CN"/>
        </w:rPr>
        <w:t>案的通知》</w:t>
      </w:r>
      <w:r>
        <w:rPr>
          <w:rFonts w:hint="eastAsia" w:ascii="仿宋_GB2312" w:hAnsi="仿宋_GB2312" w:eastAsia="仿宋_GB2312" w:cs="仿宋_GB2312"/>
          <w:b w:val="0"/>
          <w:bCs w:val="0"/>
          <w:i w:val="0"/>
          <w:iCs w:val="0"/>
          <w:smallCaps w:val="0"/>
          <w:strike w:val="0"/>
          <w:color w:val="000000"/>
          <w:w w:val="100"/>
          <w:position w:val="0"/>
          <w:sz w:val="32"/>
          <w:szCs w:val="32"/>
          <w:lang w:val="en-US" w:eastAsia="en-US" w:bidi="zh-CN"/>
        </w:rPr>
        <w:t>（</w:t>
      </w:r>
      <w:r>
        <w:rPr>
          <w:rFonts w:hint="eastAsia" w:ascii="仿宋_GB2312" w:hAnsi="仿宋_GB2312" w:eastAsia="仿宋_GB2312" w:cs="仿宋_GB2312"/>
          <w:b w:val="0"/>
          <w:bCs w:val="0"/>
          <w:i w:val="0"/>
          <w:iCs w:val="0"/>
          <w:smallCaps w:val="0"/>
          <w:strike w:val="0"/>
          <w:color w:val="000000"/>
          <w:w w:val="100"/>
          <w:position w:val="0"/>
          <w:sz w:val="32"/>
          <w:szCs w:val="32"/>
          <w:lang w:val="zh-CN" w:eastAsia="zh-CN" w:bidi="zh-CN"/>
        </w:rPr>
        <w:t>粤卫函〔</w:t>
      </w:r>
      <w:r>
        <w:rPr>
          <w:rFonts w:hint="eastAsia" w:ascii="仿宋_GB2312" w:hAnsi="仿宋_GB2312" w:eastAsia="仿宋_GB2312" w:cs="仿宋_GB2312"/>
          <w:b w:val="0"/>
          <w:bCs w:val="0"/>
          <w:i w:val="0"/>
          <w:iCs w:val="0"/>
          <w:smallCaps w:val="0"/>
          <w:strike w:val="0"/>
          <w:color w:val="000000"/>
          <w:w w:val="100"/>
          <w:position w:val="0"/>
          <w:sz w:val="32"/>
          <w:szCs w:val="32"/>
          <w:lang w:val="en-US" w:eastAsia="zh-CN" w:bidi="zh-CN"/>
        </w:rPr>
        <w:t>2018〕172</w:t>
      </w:r>
      <w:r>
        <w:rPr>
          <w:rFonts w:hint="eastAsia" w:ascii="仿宋_GB2312" w:hAnsi="仿宋_GB2312" w:eastAsia="仿宋_GB2312" w:cs="仿宋_GB2312"/>
          <w:b w:val="0"/>
          <w:bCs w:val="0"/>
          <w:i w:val="0"/>
          <w:iCs w:val="0"/>
          <w:smallCaps w:val="0"/>
          <w:strike w:val="0"/>
          <w:color w:val="000000"/>
          <w:w w:val="100"/>
          <w:position w:val="0"/>
          <w:sz w:val="32"/>
          <w:szCs w:val="32"/>
          <w:lang w:val="zh-CN" w:eastAsia="zh-CN" w:bidi="zh-CN"/>
        </w:rPr>
        <w:t>号），明确将</w:t>
      </w:r>
      <w:r>
        <w:rPr>
          <w:rFonts w:hint="eastAsia" w:ascii="仿宋_GB2312" w:hAnsi="仿宋_GB2312" w:eastAsia="仿宋_GB2312" w:cs="仿宋_GB2312"/>
          <w:color w:val="000000"/>
          <w:w w:val="100"/>
          <w:position w:val="0"/>
          <w:sz w:val="32"/>
          <w:szCs w:val="32"/>
          <w:lang w:val="zh-CN" w:eastAsia="zh-CN" w:bidi="zh-CN"/>
        </w:rPr>
        <w:t>上述委托事项自,</w:t>
      </w:r>
      <w:r>
        <w:rPr>
          <w:rFonts w:hint="eastAsia" w:ascii="仿宋_GB2312" w:hAnsi="仿宋_GB2312" w:eastAsia="仿宋_GB2312" w:cs="仿宋_GB2312"/>
          <w:color w:val="000000"/>
          <w:w w:val="100"/>
          <w:position w:val="0"/>
          <w:sz w:val="32"/>
          <w:szCs w:val="32"/>
          <w:lang w:val="en-US" w:eastAsia="zh-CN" w:bidi="zh-CN"/>
        </w:rPr>
        <w:t>2018</w:t>
      </w:r>
      <w:r>
        <w:rPr>
          <w:rFonts w:hint="eastAsia" w:ascii="仿宋_GB2312" w:hAnsi="仿宋_GB2312" w:eastAsia="仿宋_GB2312" w:cs="仿宋_GB2312"/>
          <w:color w:val="000000"/>
          <w:w w:val="100"/>
          <w:position w:val="0"/>
          <w:sz w:val="32"/>
          <w:szCs w:val="32"/>
          <w:lang w:val="zh-CN" w:eastAsia="zh-CN" w:bidi="zh-CN"/>
        </w:rPr>
        <w:t>年</w:t>
      </w:r>
      <w:r>
        <w:rPr>
          <w:rFonts w:hint="eastAsia" w:ascii="仿宋_GB2312" w:hAnsi="仿宋_GB2312" w:eastAsia="仿宋_GB2312" w:cs="仿宋_GB2312"/>
          <w:color w:val="000000"/>
          <w:w w:val="100"/>
          <w:position w:val="0"/>
          <w:sz w:val="32"/>
          <w:szCs w:val="32"/>
          <w:lang w:val="en-US" w:eastAsia="zh-CN" w:bidi="zh-CN"/>
        </w:rPr>
        <w:t>2</w:t>
      </w:r>
      <w:r>
        <w:rPr>
          <w:rFonts w:hint="eastAsia" w:ascii="仿宋_GB2312" w:hAnsi="仿宋_GB2312" w:eastAsia="仿宋_GB2312" w:cs="仿宋_GB2312"/>
          <w:color w:val="000000"/>
          <w:w w:val="100"/>
          <w:position w:val="0"/>
          <w:sz w:val="32"/>
          <w:szCs w:val="32"/>
          <w:lang w:val="zh-CN" w:eastAsia="zh-CN" w:bidi="zh-CN"/>
        </w:rPr>
        <w:t>月</w:t>
      </w:r>
      <w:r>
        <w:rPr>
          <w:rFonts w:hint="eastAsia" w:ascii="仿宋_GB2312" w:hAnsi="仿宋_GB2312" w:eastAsia="仿宋_GB2312" w:cs="仿宋_GB2312"/>
          <w:color w:val="000000"/>
          <w:w w:val="100"/>
          <w:position w:val="0"/>
          <w:sz w:val="32"/>
          <w:szCs w:val="32"/>
          <w:lang w:val="en-US" w:eastAsia="zh-CN" w:bidi="zh-CN"/>
        </w:rPr>
        <w:t>23</w:t>
      </w:r>
      <w:r>
        <w:rPr>
          <w:rFonts w:hint="eastAsia" w:ascii="仿宋_GB2312" w:hAnsi="仿宋_GB2312" w:eastAsia="仿宋_GB2312" w:cs="仿宋_GB2312"/>
          <w:color w:val="000000"/>
          <w:w w:val="100"/>
          <w:position w:val="0"/>
          <w:sz w:val="32"/>
          <w:szCs w:val="32"/>
          <w:lang w:val="zh-CN" w:eastAsia="zh-CN" w:bidi="zh-CN"/>
        </w:rPr>
        <w:t>日起由各地级以上市卫生计生局（委</w:t>
      </w:r>
      <w:r>
        <w:rPr>
          <w:rFonts w:hint="eastAsia" w:ascii="仿宋_GB2312" w:hAnsi="仿宋_GB2312" w:eastAsia="仿宋_GB2312" w:cs="仿宋_GB2312"/>
          <w:color w:val="000000"/>
          <w:w w:val="100"/>
          <w:position w:val="0"/>
          <w:sz w:val="32"/>
          <w:szCs w:val="32"/>
          <w:lang w:val="en-US" w:eastAsia="en-US" w:bidi="en-US"/>
        </w:rPr>
        <w:t>)</w:t>
      </w:r>
      <w:r>
        <w:rPr>
          <w:rFonts w:hint="eastAsia" w:ascii="仿宋_GB2312" w:hAnsi="仿宋_GB2312" w:eastAsia="仿宋_GB2312" w:cs="仿宋_GB2312"/>
          <w:color w:val="000000"/>
          <w:w w:val="100"/>
          <w:position w:val="0"/>
          <w:sz w:val="32"/>
          <w:szCs w:val="32"/>
          <w:lang w:val="zh-CN" w:eastAsia="zh-CN" w:bidi="zh-CN"/>
        </w:rPr>
        <w:t>或其他</w:t>
      </w:r>
      <w:r>
        <w:rPr>
          <w:rStyle w:val="13"/>
          <w:rFonts w:hint="eastAsia" w:ascii="仿宋_GB2312" w:hAnsi="仿宋_GB2312" w:eastAsia="仿宋_GB2312" w:cs="仿宋_GB2312"/>
          <w:b w:val="0"/>
          <w:bCs w:val="0"/>
          <w:i w:val="0"/>
          <w:iCs w:val="0"/>
          <w:smallCaps w:val="0"/>
          <w:strike w:val="0"/>
          <w:sz w:val="32"/>
          <w:szCs w:val="32"/>
        </w:rPr>
        <w:t>对</w:t>
      </w:r>
      <w:r>
        <w:rPr>
          <w:rFonts w:hint="eastAsia" w:ascii="仿宋_GB2312" w:hAnsi="仿宋_GB2312" w:eastAsia="仿宋_GB2312" w:cs="仿宋_GB2312"/>
          <w:color w:val="000000"/>
          <w:w w:val="100"/>
          <w:position w:val="0"/>
          <w:sz w:val="32"/>
          <w:szCs w:val="32"/>
          <w:lang w:val="zh-CN" w:eastAsia="zh-CN" w:bidi="zh-CN"/>
        </w:rPr>
        <w:t>应机构实施。2018年2月7日原省卫生计生委联合我局发布《关于将一批省级行政事项调整由各地级以上市实施的公告》，同时为做好我局网上办事大厅的行政许可事项的办理调整工作，我局在省中医药局官网发布具体事项的办理公告，</w:t>
      </w:r>
      <w:bookmarkStart w:id="16" w:name="_GoBack"/>
      <w:bookmarkEnd w:id="16"/>
      <w:r>
        <w:rPr>
          <w:rFonts w:hint="eastAsia" w:ascii="仿宋_GB2312" w:hAnsi="仿宋_GB2312" w:eastAsia="仿宋_GB2312" w:cs="仿宋_GB2312"/>
          <w:color w:val="000000"/>
          <w:w w:val="100"/>
          <w:position w:val="0"/>
          <w:sz w:val="32"/>
          <w:szCs w:val="32"/>
          <w:lang w:val="zh-CN" w:eastAsia="zh-CN" w:bidi="zh-CN"/>
        </w:rPr>
        <w:t>指引行政许可事项的申请方在调整的时限后向各地级以上市卫生计生行政部门申请。2019年4月我局和省卫生健康委联合与20个地级以上市卫生健康局</w:t>
      </w:r>
      <w:r>
        <w:rPr>
          <w:rStyle w:val="14"/>
          <w:rFonts w:hint="eastAsia" w:ascii="仿宋_GB2312" w:hAnsi="仿宋_GB2312" w:eastAsia="仿宋_GB2312" w:cs="仿宋_GB2312"/>
          <w:b w:val="0"/>
          <w:bCs w:val="0"/>
          <w:i w:val="0"/>
          <w:iCs w:val="0"/>
          <w:smallCaps w:val="0"/>
          <w:strike w:val="0"/>
          <w:sz w:val="32"/>
          <w:szCs w:val="32"/>
          <w:lang w:val="zh-CN" w:eastAsia="zh-CN" w:bidi="zh-CN"/>
        </w:rPr>
        <w:t>（委）</w:t>
      </w:r>
      <w:r>
        <w:rPr>
          <w:rFonts w:hint="eastAsia" w:ascii="仿宋_GB2312" w:hAnsi="仿宋_GB2312" w:eastAsia="仿宋_GB2312" w:cs="仿宋_GB2312"/>
          <w:color w:val="000000"/>
          <w:w w:val="100"/>
          <w:position w:val="0"/>
          <w:sz w:val="32"/>
          <w:szCs w:val="32"/>
          <w:lang w:val="zh-CN" w:eastAsia="zh-CN" w:bidi="zh-CN"/>
        </w:rPr>
        <w:t>签署3项委托实施协议书。</w:t>
      </w:r>
    </w:p>
    <w:p>
      <w:pPr>
        <w:pStyle w:val="15"/>
        <w:keepNext w:val="0"/>
        <w:keepLines w:val="0"/>
        <w:pageBreakBefore w:val="0"/>
        <w:widowControl w:val="0"/>
        <w:numPr>
          <w:ilvl w:val="0"/>
          <w:numId w:val="0"/>
        </w:numPr>
        <w:shd w:val="clear" w:color="auto" w:fill="auto"/>
        <w:tabs>
          <w:tab w:val="left" w:pos="1055"/>
        </w:tabs>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zh-CN" w:bidi="zh-CN"/>
        </w:rPr>
        <w:t>2.</w:t>
      </w:r>
      <w:r>
        <w:rPr>
          <w:rFonts w:hint="eastAsia" w:ascii="仿宋_GB2312" w:hAnsi="仿宋_GB2312" w:eastAsia="仿宋_GB2312" w:cs="仿宋_GB2312"/>
          <w:b/>
          <w:bCs/>
          <w:color w:val="000000"/>
          <w:spacing w:val="0"/>
          <w:w w:val="100"/>
          <w:position w:val="0"/>
          <w:sz w:val="32"/>
          <w:szCs w:val="32"/>
          <w:lang w:val="zh-CN" w:eastAsia="zh-CN" w:bidi="zh-CN"/>
        </w:rPr>
        <w:t>中介服务改革落实情况。</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6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我局暂无中介服务的事项。</w:t>
      </w:r>
    </w:p>
    <w:p>
      <w:pPr>
        <w:pStyle w:val="16"/>
        <w:keepNext w:val="0"/>
        <w:keepLines w:val="0"/>
        <w:pageBreakBefore w:val="0"/>
        <w:widowControl w:val="0"/>
        <w:numPr>
          <w:ilvl w:val="0"/>
          <w:numId w:val="0"/>
        </w:numPr>
        <w:shd w:val="clear" w:color="auto" w:fill="auto"/>
        <w:tabs>
          <w:tab w:val="left" w:pos="1069"/>
        </w:tabs>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bidi="zh-CN"/>
        </w:rPr>
        <w:t>3.</w:t>
      </w:r>
      <w:r>
        <w:rPr>
          <w:rFonts w:hint="eastAsia" w:ascii="仿宋_GB2312" w:hAnsi="仿宋_GB2312" w:eastAsia="仿宋_GB2312" w:cs="仿宋_GB2312"/>
          <w:color w:val="000000"/>
          <w:spacing w:val="0"/>
          <w:w w:val="100"/>
          <w:position w:val="0"/>
          <w:sz w:val="32"/>
          <w:szCs w:val="32"/>
          <w:lang w:val="zh-CN" w:eastAsia="zh-CN" w:bidi="zh-CN"/>
        </w:rPr>
        <w:t>政务服务事项标准化情况。</w:t>
      </w:r>
    </w:p>
    <w:p>
      <w:pPr>
        <w:pStyle w:val="7"/>
        <w:keepNext w:val="0"/>
        <w:keepLines w:val="0"/>
        <w:pageBreakBefore w:val="0"/>
        <w:widowControl w:val="0"/>
        <w:shd w:val="clear" w:color="auto" w:fill="auto"/>
        <w:tabs>
          <w:tab w:val="left" w:pos="0"/>
        </w:tabs>
        <w:kinsoku/>
        <w:wordWrap/>
        <w:overflowPunct/>
        <w:topLinePunct w:val="0"/>
        <w:autoSpaceDE/>
        <w:autoSpaceDN/>
        <w:bidi w:val="0"/>
        <w:adjustRightInd/>
        <w:snapToGrid/>
        <w:spacing w:before="0" w:after="0" w:line="560" w:lineRule="exact"/>
        <w:ind w:left="0" w:leftChars="0" w:right="0" w:firstLine="76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我局根据《广东省2019年政务服务事项标准化专项工作实施方案》相关工作要求，完成编制事项实施目录和实施清单，并根据法律法规调整和改革要求，及时在省政务服务事项目录管理系统动态更新。统筹梳理政务服务事项名称、办理材料、业务表单等要素，精细化拆分子项，大幅增加公共服务事项，及时在系统答复处理各地级以上市、县（市、区）中医药部门提出的建议意见。根据《广东省2019年政务服务事项标准化专项工作实施方案》相关工作要求，2019年，我局已完成政务服务事项标准化的工作。行政许可事项标准化材料通过省编办组织的合规性、合法性审查，并迁移到网上办事大厅。压减办事材料涉及的事项2项。</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color w:val="000000"/>
          <w:spacing w:val="0"/>
          <w:w w:val="100"/>
          <w:position w:val="0"/>
          <w:sz w:val="32"/>
          <w:szCs w:val="32"/>
          <w:lang w:val="zh-CN" w:eastAsia="zh-CN" w:bidi="zh-CN"/>
        </w:rPr>
        <w:t>(二）事项实施情况。</w:t>
      </w:r>
    </w:p>
    <w:p>
      <w:pPr>
        <w:pStyle w:val="16"/>
        <w:keepNext w:val="0"/>
        <w:keepLines w:val="0"/>
        <w:pageBreakBefore w:val="0"/>
        <w:widowControl w:val="0"/>
        <w:numPr>
          <w:ilvl w:val="0"/>
          <w:numId w:val="0"/>
        </w:numPr>
        <w:shd w:val="clear" w:color="auto" w:fill="auto"/>
        <w:tabs>
          <w:tab w:val="left" w:pos="1184"/>
        </w:tabs>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bidi="zh-CN"/>
        </w:rPr>
        <w:t>4.</w:t>
      </w:r>
      <w:r>
        <w:rPr>
          <w:rFonts w:hint="eastAsia" w:ascii="仿宋_GB2312" w:hAnsi="仿宋_GB2312" w:eastAsia="仿宋_GB2312" w:cs="仿宋_GB2312"/>
          <w:color w:val="000000"/>
          <w:spacing w:val="0"/>
          <w:w w:val="100"/>
          <w:position w:val="0"/>
          <w:sz w:val="32"/>
          <w:szCs w:val="32"/>
          <w:lang w:val="zh-CN" w:eastAsia="zh-CN" w:bidi="zh-CN"/>
        </w:rPr>
        <w:t>网上可办理情况。</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我局依申请办理的政务服务事项网上可办理率达到100</w:t>
      </w:r>
      <w:r>
        <w:rPr>
          <w:rFonts w:hint="eastAsia" w:ascii="仿宋_GB2312" w:hAnsi="仿宋_GB2312" w:eastAsia="仿宋_GB2312" w:cs="仿宋_GB2312"/>
          <w:color w:val="000000"/>
          <w:w w:val="100"/>
          <w:position w:val="0"/>
          <w:sz w:val="32"/>
          <w:szCs w:val="32"/>
          <w:lang w:val="en-US" w:eastAsia="zh-CN" w:bidi="zh-CN"/>
        </w:rPr>
        <w:t>%</w:t>
      </w:r>
      <w:r>
        <w:rPr>
          <w:rFonts w:hint="eastAsia" w:ascii="仿宋_GB2312" w:hAnsi="仿宋_GB2312" w:eastAsia="仿宋_GB2312" w:cs="仿宋_GB2312"/>
          <w:color w:val="000000"/>
          <w:w w:val="100"/>
          <w:position w:val="0"/>
          <w:sz w:val="32"/>
          <w:szCs w:val="32"/>
          <w:lang w:val="zh-CN" w:eastAsia="zh-CN" w:bidi="zh-CN"/>
        </w:rPr>
        <w:t>。我局全部按时限办结事项数据同步推送到广东信用信息双公示平台。</w:t>
      </w:r>
    </w:p>
    <w:p>
      <w:pPr>
        <w:pStyle w:val="17"/>
        <w:keepNext/>
        <w:keepLines/>
        <w:pageBreakBefore w:val="0"/>
        <w:widowControl w:val="0"/>
        <w:numPr>
          <w:ilvl w:val="0"/>
          <w:numId w:val="0"/>
        </w:numPr>
        <w:shd w:val="clear" w:color="auto" w:fill="auto"/>
        <w:tabs>
          <w:tab w:val="left" w:pos="1132"/>
        </w:tabs>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bookmarkStart w:id="1" w:name="bookmark3"/>
      <w:r>
        <w:rPr>
          <w:rFonts w:hint="eastAsia" w:ascii="仿宋_GB2312" w:hAnsi="仿宋_GB2312" w:eastAsia="仿宋_GB2312" w:cs="仿宋_GB2312"/>
          <w:color w:val="000000"/>
          <w:spacing w:val="0"/>
          <w:w w:val="100"/>
          <w:position w:val="0"/>
          <w:sz w:val="32"/>
          <w:szCs w:val="32"/>
          <w:lang w:val="en-US" w:eastAsia="zh-CN" w:bidi="zh-CN"/>
        </w:rPr>
        <w:t>5.</w:t>
      </w:r>
      <w:r>
        <w:rPr>
          <w:rFonts w:hint="eastAsia" w:ascii="仿宋_GB2312" w:hAnsi="仿宋_GB2312" w:eastAsia="仿宋_GB2312" w:cs="仿宋_GB2312"/>
          <w:color w:val="000000"/>
          <w:spacing w:val="0"/>
          <w:w w:val="100"/>
          <w:position w:val="0"/>
          <w:sz w:val="32"/>
          <w:szCs w:val="32"/>
          <w:lang w:val="zh-CN" w:eastAsia="zh-CN" w:bidi="zh-CN"/>
        </w:rPr>
        <w:t>事项按时办结情况。</w:t>
      </w:r>
      <w:bookmarkEnd w:id="1"/>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2019年行政审批事项申请量为5件、办结量5件</w:t>
      </w:r>
      <w:r>
        <w:rPr>
          <w:rFonts w:hint="eastAsia" w:ascii="仿宋_GB2312" w:hAnsi="仿宋_GB2312" w:eastAsia="仿宋_GB2312" w:cs="仿宋_GB2312"/>
          <w:color w:val="000000"/>
          <w:w w:val="100"/>
          <w:position w:val="0"/>
          <w:sz w:val="32"/>
          <w:szCs w:val="32"/>
          <w:lang w:val="en-US" w:eastAsia="en-US" w:bidi="en-US"/>
        </w:rPr>
        <w:t>（</w:t>
      </w:r>
      <w:r>
        <w:rPr>
          <w:rFonts w:hint="eastAsia" w:ascii="仿宋_GB2312" w:hAnsi="仿宋_GB2312" w:eastAsia="仿宋_GB2312" w:cs="仿宋_GB2312"/>
          <w:color w:val="000000"/>
          <w:w w:val="100"/>
          <w:position w:val="0"/>
          <w:sz w:val="32"/>
          <w:szCs w:val="32"/>
          <w:lang w:val="zh-CN" w:eastAsia="zh-CN" w:bidi="zh-CN"/>
        </w:rPr>
        <w:t>其中不予受理办件1项，因任职注册中医的时间未能达到文件规定要求）。办结率达到</w:t>
      </w:r>
      <w:r>
        <w:rPr>
          <w:rFonts w:hint="eastAsia" w:ascii="仿宋_GB2312" w:hAnsi="仿宋_GB2312" w:eastAsia="仿宋_GB2312" w:cs="仿宋_GB2312"/>
          <w:color w:val="000000"/>
          <w:w w:val="100"/>
          <w:position w:val="0"/>
          <w:sz w:val="32"/>
          <w:szCs w:val="32"/>
          <w:lang w:val="en-US" w:eastAsia="zh-CN" w:bidi="zh-CN"/>
        </w:rPr>
        <w:t>100</w:t>
      </w:r>
      <w:r>
        <w:rPr>
          <w:rFonts w:hint="eastAsia" w:ascii="仿宋_GB2312" w:hAnsi="仿宋_GB2312" w:eastAsia="仿宋_GB2312" w:cs="仿宋_GB2312"/>
          <w:color w:val="000000"/>
          <w:w w:val="100"/>
          <w:position w:val="0"/>
          <w:sz w:val="32"/>
          <w:szCs w:val="32"/>
          <w:lang w:val="zh-CN" w:eastAsia="zh-CN" w:bidi="zh-CN"/>
        </w:rPr>
        <w:t>%，网上办结率100%,申请办理事项全部按时限办结，超期办结数为</w:t>
      </w:r>
      <w:r>
        <w:rPr>
          <w:rFonts w:hint="eastAsia" w:ascii="仿宋_GB2312" w:hAnsi="仿宋_GB2312" w:eastAsia="仿宋_GB2312" w:cs="仿宋_GB2312"/>
          <w:color w:val="000000"/>
          <w:w w:val="100"/>
          <w:position w:val="0"/>
          <w:sz w:val="32"/>
          <w:szCs w:val="32"/>
          <w:lang w:val="en-US" w:eastAsia="zh-CN" w:bidi="zh-CN"/>
        </w:rPr>
        <w:t>0</w:t>
      </w:r>
      <w:r>
        <w:rPr>
          <w:rFonts w:hint="eastAsia" w:ascii="仿宋_GB2312" w:hAnsi="仿宋_GB2312" w:eastAsia="仿宋_GB2312" w:cs="仿宋_GB2312"/>
          <w:color w:val="000000"/>
          <w:w w:val="100"/>
          <w:position w:val="0"/>
          <w:sz w:val="32"/>
          <w:szCs w:val="32"/>
          <w:lang w:val="zh-CN" w:eastAsia="zh-CN" w:bidi="zh-CN"/>
        </w:rPr>
        <w:t>,超期办结率为0。</w:t>
      </w:r>
    </w:p>
    <w:p>
      <w:pPr>
        <w:pStyle w:val="17"/>
        <w:keepNext/>
        <w:keepLines/>
        <w:pageBreakBefore w:val="0"/>
        <w:widowControl w:val="0"/>
        <w:numPr>
          <w:ilvl w:val="0"/>
          <w:numId w:val="0"/>
        </w:numPr>
        <w:shd w:val="clear" w:color="auto" w:fill="auto"/>
        <w:tabs>
          <w:tab w:val="left" w:pos="1132"/>
        </w:tabs>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bookmarkStart w:id="2" w:name="bookmark4"/>
      <w:r>
        <w:rPr>
          <w:rFonts w:hint="eastAsia" w:ascii="仿宋_GB2312" w:hAnsi="仿宋_GB2312" w:eastAsia="仿宋_GB2312" w:cs="仿宋_GB2312"/>
          <w:color w:val="000000"/>
          <w:spacing w:val="0"/>
          <w:w w:val="100"/>
          <w:position w:val="0"/>
          <w:sz w:val="32"/>
          <w:szCs w:val="32"/>
          <w:lang w:val="en-US" w:eastAsia="zh-CN" w:bidi="zh-CN"/>
        </w:rPr>
        <w:t>6.</w:t>
      </w:r>
      <w:r>
        <w:rPr>
          <w:rFonts w:hint="eastAsia" w:ascii="仿宋_GB2312" w:hAnsi="仿宋_GB2312" w:eastAsia="仿宋_GB2312" w:cs="仿宋_GB2312"/>
          <w:color w:val="000000"/>
          <w:spacing w:val="0"/>
          <w:w w:val="100"/>
          <w:position w:val="0"/>
          <w:sz w:val="32"/>
          <w:szCs w:val="32"/>
          <w:lang w:val="zh-CN" w:eastAsia="zh-CN" w:bidi="zh-CN"/>
        </w:rPr>
        <w:t>跑动次数情况。</w:t>
      </w:r>
      <w:bookmarkEnd w:id="2"/>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我局通过网上审批措施，实现网上申办事项到现场跑动次数不超过1次的比例达到100%。</w:t>
      </w:r>
    </w:p>
    <w:p>
      <w:pPr>
        <w:pStyle w:val="17"/>
        <w:keepNext/>
        <w:keepLines/>
        <w:pageBreakBefore w:val="0"/>
        <w:widowControl w:val="0"/>
        <w:numPr>
          <w:ilvl w:val="0"/>
          <w:numId w:val="0"/>
        </w:numPr>
        <w:shd w:val="clear" w:color="auto" w:fill="auto"/>
        <w:tabs>
          <w:tab w:val="left" w:pos="1132"/>
        </w:tabs>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bookmarkStart w:id="3" w:name="bookmark5"/>
      <w:r>
        <w:rPr>
          <w:rFonts w:hint="eastAsia" w:ascii="仿宋_GB2312" w:hAnsi="仿宋_GB2312" w:eastAsia="仿宋_GB2312" w:cs="仿宋_GB2312"/>
          <w:color w:val="000000"/>
          <w:spacing w:val="0"/>
          <w:w w:val="100"/>
          <w:position w:val="0"/>
          <w:sz w:val="32"/>
          <w:szCs w:val="32"/>
          <w:lang w:val="en-US" w:eastAsia="zh-CN" w:bidi="zh-CN"/>
        </w:rPr>
        <w:t>7.</w:t>
      </w:r>
      <w:r>
        <w:rPr>
          <w:rFonts w:hint="eastAsia" w:ascii="仿宋_GB2312" w:hAnsi="仿宋_GB2312" w:eastAsia="仿宋_GB2312" w:cs="仿宋_GB2312"/>
          <w:color w:val="000000"/>
          <w:spacing w:val="0"/>
          <w:w w:val="100"/>
          <w:position w:val="0"/>
          <w:sz w:val="32"/>
          <w:szCs w:val="32"/>
          <w:lang w:val="zh-CN" w:eastAsia="zh-CN" w:bidi="zh-CN"/>
        </w:rPr>
        <w:t>行政许可事项网上全流程办理情况。</w:t>
      </w:r>
      <w:bookmarkEnd w:id="3"/>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按照要求，我局进驻统一申办平台的有关行政审批事项为3项，办理事项均实现网上全流程办理。全流程网上办理比例达到</w:t>
      </w:r>
      <w:r>
        <w:rPr>
          <w:rStyle w:val="14"/>
          <w:rFonts w:hint="eastAsia" w:ascii="仿宋_GB2312" w:hAnsi="仿宋_GB2312" w:eastAsia="仿宋_GB2312" w:cs="仿宋_GB2312"/>
          <w:b w:val="0"/>
          <w:bCs w:val="0"/>
          <w:i w:val="0"/>
          <w:iCs w:val="0"/>
          <w:smallCaps w:val="0"/>
          <w:strike w:val="0"/>
          <w:sz w:val="32"/>
          <w:szCs w:val="32"/>
        </w:rPr>
        <w:t>100%。</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spacing w:val="0"/>
          <w:w w:val="100"/>
          <w:position w:val="0"/>
          <w:sz w:val="32"/>
          <w:szCs w:val="32"/>
          <w:lang w:val="zh-CN" w:eastAsia="zh-CN" w:bidi="zh-CN"/>
        </w:rPr>
        <w:t>(三）加强事中事后监管情况。</w:t>
      </w:r>
    </w:p>
    <w:p>
      <w:pPr>
        <w:pStyle w:val="17"/>
        <w:keepNext/>
        <w:keepLines/>
        <w:pageBreakBefore w:val="0"/>
        <w:widowControl w:val="0"/>
        <w:numPr>
          <w:ilvl w:val="0"/>
          <w:numId w:val="0"/>
        </w:numPr>
        <w:shd w:val="clear" w:color="auto" w:fill="auto"/>
        <w:tabs>
          <w:tab w:val="left" w:pos="1132"/>
        </w:tabs>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bookmarkStart w:id="4" w:name="bookmark6"/>
      <w:r>
        <w:rPr>
          <w:rFonts w:hint="eastAsia" w:ascii="仿宋_GB2312" w:hAnsi="仿宋_GB2312" w:eastAsia="仿宋_GB2312" w:cs="仿宋_GB2312"/>
          <w:color w:val="000000"/>
          <w:spacing w:val="0"/>
          <w:w w:val="100"/>
          <w:position w:val="0"/>
          <w:sz w:val="32"/>
          <w:szCs w:val="32"/>
          <w:lang w:val="en-US" w:eastAsia="zh-CN" w:bidi="zh-CN"/>
        </w:rPr>
        <w:t>8.</w:t>
      </w:r>
      <w:r>
        <w:rPr>
          <w:rFonts w:hint="eastAsia" w:ascii="仿宋_GB2312" w:hAnsi="仿宋_GB2312" w:eastAsia="仿宋_GB2312" w:cs="仿宋_GB2312"/>
          <w:color w:val="000000"/>
          <w:spacing w:val="0"/>
          <w:w w:val="100"/>
          <w:position w:val="0"/>
          <w:sz w:val="32"/>
          <w:szCs w:val="32"/>
          <w:lang w:val="zh-CN" w:eastAsia="zh-CN" w:bidi="zh-CN"/>
        </w:rPr>
        <w:t>建立健全监管制度机制情况。</w:t>
      </w:r>
      <w:bookmarkEnd w:id="4"/>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2019年开展等级医院评审和三级公立中医院绩效考核。成立广东省中药药事质量控制中心，进一步加强我省中药药事质量控制工作。我局与原省卫生计生委联合发出《关于印发广东省卫生健康委广东省中医药局关于医师多点执业的管理办法的通知》，加强我省医师多点执业的规范管理。我局与省卫生健康委联合发文《关于尽快做好全省医师定期考核工作的通知》，做好医师定期考核，提高医师服务质量。我局与省卫生健康委联合发出《关于委托广东省人民医院等</w:t>
      </w:r>
      <w:r>
        <w:rPr>
          <w:rStyle w:val="14"/>
          <w:rFonts w:hint="eastAsia" w:ascii="仿宋_GB2312" w:hAnsi="仿宋_GB2312" w:eastAsia="仿宋_GB2312" w:cs="仿宋_GB2312"/>
          <w:b w:val="0"/>
          <w:bCs w:val="0"/>
          <w:i w:val="0"/>
          <w:iCs w:val="0"/>
          <w:smallCaps w:val="0"/>
          <w:strike w:val="0"/>
          <w:sz w:val="32"/>
          <w:szCs w:val="32"/>
          <w:lang w:val="zh-CN" w:eastAsia="zh-CN" w:bidi="zh-CN"/>
        </w:rPr>
        <w:t>35</w:t>
      </w:r>
      <w:r>
        <w:rPr>
          <w:rFonts w:hint="eastAsia" w:ascii="仿宋_GB2312" w:hAnsi="仿宋_GB2312" w:eastAsia="仿宋_GB2312" w:cs="仿宋_GB2312"/>
          <w:color w:val="000000"/>
          <w:w w:val="100"/>
          <w:position w:val="0"/>
          <w:sz w:val="32"/>
          <w:szCs w:val="32"/>
          <w:lang w:val="zh-CN" w:eastAsia="zh-CN" w:bidi="zh-CN"/>
        </w:rPr>
        <w:t>家机构承担医师定期考核工作的通知》、《关于继续委托省医师协会开展省级医师定期考核相关工作的通知》，加强我省医师定期考核，委托省医师协会具体负责。委托广东省人民医院等</w:t>
      </w:r>
      <w:r>
        <w:rPr>
          <w:rStyle w:val="14"/>
          <w:rFonts w:hint="eastAsia" w:ascii="仿宋_GB2312" w:hAnsi="仿宋_GB2312" w:eastAsia="仿宋_GB2312" w:cs="仿宋_GB2312"/>
          <w:b w:val="0"/>
          <w:bCs w:val="0"/>
          <w:i w:val="0"/>
          <w:iCs w:val="0"/>
          <w:smallCaps w:val="0"/>
          <w:strike w:val="0"/>
          <w:sz w:val="32"/>
          <w:szCs w:val="32"/>
          <w:lang w:val="zh-CN" w:eastAsia="zh-CN" w:bidi="zh-CN"/>
        </w:rPr>
        <w:t>35</w:t>
      </w:r>
      <w:r>
        <w:rPr>
          <w:rFonts w:hint="eastAsia" w:ascii="仿宋_GB2312" w:hAnsi="仿宋_GB2312" w:eastAsia="仿宋_GB2312" w:cs="仿宋_GB2312"/>
          <w:color w:val="000000"/>
          <w:w w:val="100"/>
          <w:position w:val="0"/>
          <w:sz w:val="32"/>
          <w:szCs w:val="32"/>
          <w:lang w:val="zh-CN" w:eastAsia="zh-CN" w:bidi="zh-CN"/>
        </w:rPr>
        <w:t>家机构承担医师定期考核工作。转发国家卫生健康委办公厅、国家中医药管理局办公室《关于进一步加强医疗机构、医师、护士电子化注册信息核查和管理工作的通知》，要求各地级以上市卫生健康局（局）充分运用“互联网+”和大数据思维，着力构建与“放管服”改革相适应的信息化管理模式。按照《国家卫生健康委办公厅关于印发全科医师转岗培训大纲</w:t>
      </w:r>
      <w:r>
        <w:rPr>
          <w:rStyle w:val="14"/>
          <w:rFonts w:hint="eastAsia" w:ascii="仿宋_GB2312" w:hAnsi="仿宋_GB2312" w:eastAsia="仿宋_GB2312" w:cs="仿宋_GB2312"/>
          <w:b w:val="0"/>
          <w:bCs w:val="0"/>
          <w:i w:val="0"/>
          <w:iCs w:val="0"/>
          <w:smallCaps w:val="0"/>
          <w:strike w:val="0"/>
          <w:sz w:val="32"/>
          <w:szCs w:val="32"/>
        </w:rPr>
        <w:t>（2019</w:t>
      </w:r>
      <w:r>
        <w:rPr>
          <w:rFonts w:hint="eastAsia" w:ascii="仿宋_GB2312" w:hAnsi="仿宋_GB2312" w:eastAsia="仿宋_GB2312" w:cs="仿宋_GB2312"/>
          <w:color w:val="000000"/>
          <w:w w:val="100"/>
          <w:position w:val="0"/>
          <w:sz w:val="32"/>
          <w:szCs w:val="32"/>
          <w:lang w:val="zh-CN" w:eastAsia="zh-CN" w:bidi="zh-CN"/>
        </w:rPr>
        <w:t>年修</w:t>
      </w:r>
      <w:r>
        <w:rPr>
          <w:rStyle w:val="14"/>
          <w:rFonts w:hint="eastAsia" w:ascii="仿宋_GB2312" w:hAnsi="仿宋_GB2312" w:eastAsia="仿宋_GB2312" w:cs="仿宋_GB2312"/>
          <w:b w:val="0"/>
          <w:bCs w:val="0"/>
          <w:i w:val="0"/>
          <w:iCs w:val="0"/>
          <w:smallCaps w:val="0"/>
          <w:strike w:val="0"/>
          <w:sz w:val="32"/>
          <w:szCs w:val="32"/>
          <w:lang w:val="zh-CN" w:eastAsia="zh-CN" w:bidi="zh-CN"/>
        </w:rPr>
        <w:t>订版）</w:t>
      </w:r>
      <w:r>
        <w:rPr>
          <w:rFonts w:hint="eastAsia" w:ascii="仿宋_GB2312" w:hAnsi="仿宋_GB2312" w:eastAsia="仿宋_GB2312" w:cs="仿宋_GB2312"/>
          <w:color w:val="000000"/>
          <w:w w:val="100"/>
          <w:position w:val="0"/>
          <w:sz w:val="32"/>
          <w:szCs w:val="32"/>
          <w:lang w:val="zh-CN" w:eastAsia="zh-CN" w:bidi="zh-CN"/>
        </w:rPr>
        <w:t>的通知》要求，规范全科医师转岗培训。</w:t>
      </w:r>
    </w:p>
    <w:p>
      <w:pPr>
        <w:pStyle w:val="17"/>
        <w:keepNext/>
        <w:keepLines/>
        <w:pageBreakBefore w:val="0"/>
        <w:widowControl w:val="0"/>
        <w:numPr>
          <w:ilvl w:val="0"/>
          <w:numId w:val="0"/>
        </w:numPr>
        <w:shd w:val="clear" w:color="auto" w:fill="auto"/>
        <w:tabs>
          <w:tab w:val="left" w:pos="1404"/>
        </w:tabs>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bookmarkStart w:id="5" w:name="bookmark7"/>
      <w:r>
        <w:rPr>
          <w:rFonts w:hint="eastAsia" w:ascii="仿宋_GB2312" w:hAnsi="仿宋_GB2312" w:eastAsia="仿宋_GB2312" w:cs="仿宋_GB2312"/>
          <w:color w:val="000000"/>
          <w:spacing w:val="0"/>
          <w:w w:val="100"/>
          <w:position w:val="0"/>
          <w:sz w:val="32"/>
          <w:szCs w:val="32"/>
          <w:lang w:val="en-US" w:eastAsia="zh-CN" w:bidi="zh-CN"/>
        </w:rPr>
        <w:t>9.</w:t>
      </w:r>
      <w:r>
        <w:rPr>
          <w:rFonts w:hint="eastAsia" w:ascii="仿宋_GB2312" w:hAnsi="仿宋_GB2312" w:eastAsia="仿宋_GB2312" w:cs="仿宋_GB2312"/>
          <w:color w:val="000000"/>
          <w:spacing w:val="0"/>
          <w:w w:val="100"/>
          <w:position w:val="0"/>
          <w:sz w:val="32"/>
          <w:szCs w:val="32"/>
          <w:lang w:val="zh-CN" w:eastAsia="zh-CN" w:bidi="zh-CN"/>
        </w:rPr>
        <w:t>开展监管情况。</w:t>
      </w:r>
      <w:bookmarkEnd w:id="5"/>
    </w:p>
    <w:p>
      <w:pPr>
        <w:pStyle w:val="7"/>
        <w:keepNext w:val="0"/>
        <w:keepLines w:val="0"/>
        <w:pageBreakBefore w:val="0"/>
        <w:widowControl w:val="0"/>
        <w:numPr>
          <w:ilvl w:val="0"/>
          <w:numId w:val="1"/>
        </w:numPr>
        <w:shd w:val="clear" w:color="auto" w:fill="auto"/>
        <w:tabs>
          <w:tab w:val="left" w:pos="1446"/>
        </w:tabs>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加强中医医院管理，提升医疗服务水平。</w:t>
      </w:r>
      <w:r>
        <w:rPr>
          <w:rStyle w:val="14"/>
          <w:rFonts w:hint="eastAsia" w:ascii="仿宋_GB2312" w:hAnsi="仿宋_GB2312" w:eastAsia="仿宋_GB2312" w:cs="仿宋_GB2312"/>
          <w:b w:val="0"/>
          <w:bCs w:val="0"/>
          <w:i w:val="0"/>
          <w:iCs w:val="0"/>
          <w:smallCaps w:val="0"/>
          <w:strike w:val="0"/>
          <w:sz w:val="32"/>
          <w:szCs w:val="32"/>
          <w:lang w:val="zh-CN" w:eastAsia="zh-CN" w:bidi="zh-CN"/>
        </w:rPr>
        <w:t>2019</w:t>
      </w:r>
      <w:r>
        <w:rPr>
          <w:rFonts w:hint="eastAsia" w:ascii="仿宋_GB2312" w:hAnsi="仿宋_GB2312" w:eastAsia="仿宋_GB2312" w:cs="仿宋_GB2312"/>
          <w:color w:val="000000"/>
          <w:w w:val="100"/>
          <w:position w:val="0"/>
          <w:sz w:val="32"/>
          <w:szCs w:val="32"/>
          <w:lang w:val="zh-CN" w:eastAsia="zh-CN" w:bidi="zh-CN"/>
        </w:rPr>
        <w:t>年开展等级医院评审和三级公立中医医院绩效考核。</w:t>
      </w:r>
    </w:p>
    <w:p>
      <w:pPr>
        <w:pStyle w:val="7"/>
        <w:keepNext w:val="0"/>
        <w:keepLines w:val="0"/>
        <w:pageBreakBefore w:val="0"/>
        <w:widowControl w:val="0"/>
        <w:numPr>
          <w:ilvl w:val="0"/>
          <w:numId w:val="1"/>
        </w:numPr>
        <w:shd w:val="clear" w:color="auto" w:fill="auto"/>
        <w:tabs>
          <w:tab w:val="left" w:pos="1431"/>
        </w:tabs>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成立广东省中药药事质量控制中心，进一步加强我省中药药事质量控制工作。</w:t>
      </w:r>
    </w:p>
    <w:p>
      <w:pPr>
        <w:pStyle w:val="7"/>
        <w:keepNext w:val="0"/>
        <w:keepLines w:val="0"/>
        <w:pageBreakBefore w:val="0"/>
        <w:widowControl w:val="0"/>
        <w:numPr>
          <w:ilvl w:val="0"/>
          <w:numId w:val="1"/>
        </w:numPr>
        <w:shd w:val="clear" w:color="auto" w:fill="auto"/>
        <w:tabs>
          <w:tab w:val="left" w:pos="1446"/>
        </w:tabs>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我局与省卫生健康委联合发出《关于尽快做好全省医师定期考核工作的通知》，做好医师定期考核，提高医师服务质量。</w:t>
      </w:r>
    </w:p>
    <w:p>
      <w:pPr>
        <w:pStyle w:val="7"/>
        <w:keepNext w:val="0"/>
        <w:keepLines w:val="0"/>
        <w:pageBreakBefore w:val="0"/>
        <w:widowControl w:val="0"/>
        <w:numPr>
          <w:ilvl w:val="0"/>
          <w:numId w:val="1"/>
        </w:numPr>
        <w:shd w:val="clear" w:color="auto" w:fill="auto"/>
        <w:tabs>
          <w:tab w:val="left" w:pos="1446"/>
        </w:tabs>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我局与原省卫生计生委联合发出《关于医师多点执业的管理办法的通知》，加强我省医师多点执业的规范管理。</w:t>
      </w:r>
    </w:p>
    <w:p>
      <w:pPr>
        <w:pStyle w:val="17"/>
        <w:keepNext/>
        <w:keepLines/>
        <w:pageBreakBefore w:val="0"/>
        <w:widowControl w:val="0"/>
        <w:numPr>
          <w:ilvl w:val="0"/>
          <w:numId w:val="0"/>
        </w:numPr>
        <w:shd w:val="clear" w:color="auto" w:fill="auto"/>
        <w:tabs>
          <w:tab w:val="left" w:pos="1404"/>
        </w:tabs>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bookmarkStart w:id="6" w:name="bookmark8"/>
      <w:r>
        <w:rPr>
          <w:rFonts w:hint="eastAsia" w:ascii="仿宋_GB2312" w:hAnsi="仿宋_GB2312" w:eastAsia="仿宋_GB2312" w:cs="仿宋_GB2312"/>
          <w:color w:val="000000"/>
          <w:spacing w:val="0"/>
          <w:w w:val="100"/>
          <w:position w:val="0"/>
          <w:sz w:val="32"/>
          <w:szCs w:val="32"/>
          <w:lang w:val="en-US" w:eastAsia="zh-CN" w:bidi="zh-CN"/>
        </w:rPr>
        <w:t>10.</w:t>
      </w:r>
      <w:r>
        <w:rPr>
          <w:rFonts w:hint="eastAsia" w:ascii="仿宋_GB2312" w:hAnsi="仿宋_GB2312" w:eastAsia="仿宋_GB2312" w:cs="仿宋_GB2312"/>
          <w:color w:val="000000"/>
          <w:spacing w:val="0"/>
          <w:w w:val="100"/>
          <w:position w:val="0"/>
          <w:sz w:val="32"/>
          <w:szCs w:val="32"/>
          <w:lang w:val="zh-CN" w:eastAsia="zh-CN" w:bidi="zh-CN"/>
        </w:rPr>
        <w:t>创新监管方式情况。</w:t>
      </w:r>
      <w:bookmarkEnd w:id="6"/>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《根据广东省人民政府办公厅关于调整省直有关部门职能的通知》</w:t>
      </w:r>
      <w:r>
        <w:rPr>
          <w:rFonts w:hint="eastAsia" w:ascii="仿宋_GB2312" w:hAnsi="仿宋_GB2312" w:eastAsia="仿宋_GB2312" w:cs="仿宋_GB2312"/>
          <w:color w:val="000000"/>
          <w:w w:val="100"/>
          <w:position w:val="0"/>
          <w:sz w:val="32"/>
          <w:szCs w:val="32"/>
          <w:lang w:val="en-US" w:eastAsia="en-US" w:bidi="en-US"/>
        </w:rPr>
        <w:t>（</w:t>
      </w:r>
      <w:r>
        <w:rPr>
          <w:rFonts w:hint="eastAsia" w:ascii="仿宋_GB2312" w:hAnsi="仿宋_GB2312" w:eastAsia="仿宋_GB2312" w:cs="仿宋_GB2312"/>
          <w:color w:val="000000"/>
          <w:w w:val="100"/>
          <w:position w:val="0"/>
          <w:sz w:val="32"/>
          <w:szCs w:val="32"/>
          <w:lang w:val="zh-CN" w:eastAsia="zh-CN" w:bidi="zh-CN"/>
        </w:rPr>
        <w:t>粤府办[2015]8号）规定，明确省中医药局职权调整目录，对医疗机构及医务人员监管实行重心下移，由市县实施属地执法。省中医药局无独立的中医药监督执法队伍，由各地级以上市卫生健康（中医药）管理部门，按照省卫生健康委统一制定的行政裁量权执行。</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spacing w:val="0"/>
          <w:w w:val="100"/>
          <w:position w:val="0"/>
          <w:sz w:val="32"/>
          <w:szCs w:val="32"/>
          <w:lang w:val="zh-CN" w:eastAsia="zh-CN" w:bidi="zh-CN"/>
        </w:rPr>
        <w:t>(四）创新和优化服务情况。</w:t>
      </w:r>
    </w:p>
    <w:p>
      <w:pPr>
        <w:pStyle w:val="17"/>
        <w:keepNext/>
        <w:keepLines/>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bookmarkStart w:id="7" w:name="bookmark9"/>
      <w:r>
        <w:rPr>
          <w:rFonts w:hint="eastAsia" w:ascii="仿宋_GB2312" w:hAnsi="仿宋_GB2312" w:eastAsia="仿宋_GB2312" w:cs="仿宋_GB2312"/>
          <w:color w:val="000000"/>
          <w:spacing w:val="0"/>
          <w:w w:val="100"/>
          <w:position w:val="0"/>
          <w:sz w:val="32"/>
          <w:szCs w:val="32"/>
          <w:lang w:val="en-US" w:eastAsia="zh-CN" w:bidi="zh-CN"/>
        </w:rPr>
        <w:t>11.</w:t>
      </w:r>
      <w:r>
        <w:rPr>
          <w:rFonts w:hint="eastAsia" w:ascii="仿宋_GB2312" w:hAnsi="仿宋_GB2312" w:eastAsia="仿宋_GB2312" w:cs="仿宋_GB2312"/>
          <w:color w:val="000000"/>
          <w:spacing w:val="0"/>
          <w:w w:val="100"/>
          <w:position w:val="0"/>
          <w:sz w:val="32"/>
          <w:szCs w:val="32"/>
          <w:lang w:val="zh-CN" w:eastAsia="zh-CN" w:bidi="zh-CN"/>
        </w:rPr>
        <w:t>开展减证便民情况。</w:t>
      </w:r>
      <w:bookmarkEnd w:id="7"/>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证明事项取消后，我局及时在省政务服务事项标准化系统更新办事指南、申报指南及材料清单。2019年全年未收到群众投诉我局违法增设证明事项和证明材料、提高证明要求或者随意将行政机关的核查义务转嫁给群众等问题。</w:t>
      </w:r>
    </w:p>
    <w:p>
      <w:pPr>
        <w:pStyle w:val="17"/>
        <w:keepNext/>
        <w:keepLines/>
        <w:pageBreakBefore w:val="0"/>
        <w:widowControl w:val="0"/>
        <w:numPr>
          <w:ilvl w:val="0"/>
          <w:numId w:val="0"/>
        </w:numPr>
        <w:shd w:val="clear" w:color="auto" w:fill="auto"/>
        <w:tabs>
          <w:tab w:val="left" w:pos="1110"/>
        </w:tabs>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bookmarkStart w:id="8" w:name="bookmark10"/>
      <w:r>
        <w:rPr>
          <w:rFonts w:hint="eastAsia" w:ascii="仿宋_GB2312" w:hAnsi="仿宋_GB2312" w:eastAsia="仿宋_GB2312" w:cs="仿宋_GB2312"/>
          <w:color w:val="000000"/>
          <w:spacing w:val="0"/>
          <w:w w:val="100"/>
          <w:position w:val="0"/>
          <w:sz w:val="32"/>
          <w:szCs w:val="32"/>
          <w:lang w:val="en-US" w:eastAsia="zh-CN" w:bidi="zh-CN"/>
        </w:rPr>
        <w:t>12.</w:t>
      </w:r>
      <w:r>
        <w:rPr>
          <w:rFonts w:hint="eastAsia" w:ascii="仿宋_GB2312" w:hAnsi="仿宋_GB2312" w:eastAsia="仿宋_GB2312" w:cs="仿宋_GB2312"/>
          <w:color w:val="000000"/>
          <w:spacing w:val="0"/>
          <w:w w:val="100"/>
          <w:position w:val="0"/>
          <w:sz w:val="32"/>
          <w:szCs w:val="32"/>
          <w:lang w:val="zh-CN" w:eastAsia="zh-CN" w:bidi="zh-CN"/>
        </w:rPr>
        <w:t>建立部门间信息共享和推进电子证照建设情况。</w:t>
      </w:r>
      <w:bookmarkEnd w:id="8"/>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我局结合工作实际更新省政务信息资源编目信息并挂接共享数据，对有条件共享数据按时审核并提供共享数据。所有目录信息均明确标准了共享类型、是否开发、更新周期、更新方式。</w:t>
      </w:r>
    </w:p>
    <w:p>
      <w:pPr>
        <w:pStyle w:val="17"/>
        <w:keepNext/>
        <w:keepLines/>
        <w:pageBreakBefore w:val="0"/>
        <w:widowControl w:val="0"/>
        <w:numPr>
          <w:ilvl w:val="0"/>
          <w:numId w:val="0"/>
        </w:numPr>
        <w:shd w:val="clear" w:color="auto" w:fill="auto"/>
        <w:tabs>
          <w:tab w:val="left" w:pos="1110"/>
        </w:tabs>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bookmarkStart w:id="9" w:name="bookmark11"/>
      <w:r>
        <w:rPr>
          <w:rFonts w:hint="eastAsia" w:ascii="仿宋_GB2312" w:hAnsi="仿宋_GB2312" w:eastAsia="仿宋_GB2312" w:cs="仿宋_GB2312"/>
          <w:color w:val="000000"/>
          <w:spacing w:val="0"/>
          <w:w w:val="100"/>
          <w:position w:val="0"/>
          <w:sz w:val="32"/>
          <w:szCs w:val="32"/>
          <w:lang w:val="en-US" w:eastAsia="zh-CN" w:bidi="zh-CN"/>
        </w:rPr>
        <w:t>13.</w:t>
      </w:r>
      <w:r>
        <w:rPr>
          <w:rFonts w:hint="eastAsia" w:ascii="仿宋_GB2312" w:hAnsi="仿宋_GB2312" w:eastAsia="仿宋_GB2312" w:cs="仿宋_GB2312"/>
          <w:color w:val="000000"/>
          <w:spacing w:val="0"/>
          <w:w w:val="100"/>
          <w:position w:val="0"/>
          <w:sz w:val="32"/>
          <w:szCs w:val="32"/>
          <w:lang w:val="zh-CN" w:eastAsia="zh-CN" w:bidi="zh-CN"/>
        </w:rPr>
        <w:t>提高服务质量情况。</w:t>
      </w:r>
      <w:bookmarkEnd w:id="9"/>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实行“一网式”政务服务模式，行政审批事项一律在政务服务网申请，所有事项受理均在“广东省网上办事大厅（公共审批平台</w:t>
      </w:r>
      <w:r>
        <w:rPr>
          <w:rFonts w:hint="eastAsia" w:ascii="仿宋_GB2312" w:hAnsi="仿宋_GB2312" w:eastAsia="仿宋_GB2312" w:cs="仿宋_GB2312"/>
          <w:color w:val="000000"/>
          <w:w w:val="100"/>
          <w:position w:val="0"/>
          <w:sz w:val="32"/>
          <w:szCs w:val="32"/>
          <w:lang w:val="en-US" w:eastAsia="en-US" w:bidi="en-US"/>
        </w:rPr>
        <w:t>）”</w:t>
      </w:r>
      <w:r>
        <w:rPr>
          <w:rFonts w:hint="eastAsia" w:ascii="仿宋_GB2312" w:hAnsi="仿宋_GB2312" w:eastAsia="仿宋_GB2312" w:cs="仿宋_GB2312"/>
          <w:color w:val="000000"/>
          <w:w w:val="100"/>
          <w:position w:val="0"/>
          <w:sz w:val="32"/>
          <w:szCs w:val="32"/>
          <w:lang w:val="zh-CN" w:eastAsia="zh-CN" w:bidi="zh-CN"/>
        </w:rPr>
        <w:t>办理。行政审批事项从申请人申请、受理到办结，整个过程均在政务服务网流转，整个办理过程全程监督，为防止超时办理，对超期和重点事项进行监督，推行网上</w:t>
      </w:r>
      <w:r>
        <w:rPr>
          <w:rFonts w:hint="eastAsia" w:ascii="仿宋_GB2312" w:hAnsi="仿宋_GB2312" w:eastAsia="仿宋_GB2312" w:cs="仿宋_GB2312"/>
          <w:color w:val="000000"/>
          <w:w w:val="100"/>
          <w:position w:val="0"/>
          <w:sz w:val="32"/>
          <w:szCs w:val="32"/>
          <w:lang w:val="en-US" w:eastAsia="en-US" w:bidi="en-US"/>
        </w:rPr>
        <w:t>7</w:t>
      </w:r>
      <w:r>
        <w:rPr>
          <w:rStyle w:val="11"/>
          <w:rFonts w:hint="eastAsia" w:ascii="仿宋_GB2312" w:hAnsi="仿宋_GB2312" w:eastAsia="仿宋_GB2312" w:cs="仿宋_GB2312"/>
          <w:b/>
          <w:bCs/>
          <w:i w:val="0"/>
          <w:iCs w:val="0"/>
          <w:smallCaps w:val="0"/>
          <w:strike w:val="0"/>
          <w:sz w:val="32"/>
          <w:szCs w:val="32"/>
        </w:rPr>
        <w:t>×</w:t>
      </w:r>
      <w:r>
        <w:rPr>
          <w:rFonts w:hint="eastAsia" w:ascii="仿宋_GB2312" w:hAnsi="仿宋_GB2312" w:eastAsia="仿宋_GB2312" w:cs="仿宋_GB2312"/>
          <w:color w:val="000000"/>
          <w:w w:val="100"/>
          <w:position w:val="0"/>
          <w:sz w:val="32"/>
          <w:szCs w:val="32"/>
          <w:lang w:val="en-US" w:eastAsia="en-US" w:bidi="en-US"/>
        </w:rPr>
        <w:t>24</w:t>
      </w:r>
      <w:r>
        <w:rPr>
          <w:rFonts w:hint="eastAsia" w:ascii="仿宋_GB2312" w:hAnsi="仿宋_GB2312" w:eastAsia="仿宋_GB2312" w:cs="仿宋_GB2312"/>
          <w:color w:val="000000"/>
          <w:w w:val="100"/>
          <w:position w:val="0"/>
          <w:sz w:val="32"/>
          <w:szCs w:val="32"/>
          <w:lang w:val="zh-CN" w:eastAsia="zh-CN" w:bidi="zh-CN"/>
        </w:rPr>
        <w:t>小时在线申请。</w:t>
      </w:r>
    </w:p>
    <w:p>
      <w:pPr>
        <w:pStyle w:val="17"/>
        <w:keepNext/>
        <w:keepLines/>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bookmarkStart w:id="10" w:name="bookmark12"/>
      <w:r>
        <w:rPr>
          <w:rFonts w:hint="eastAsia" w:ascii="仿宋_GB2312" w:hAnsi="仿宋_GB2312" w:eastAsia="仿宋_GB2312" w:cs="仿宋_GB2312"/>
          <w:color w:val="000000"/>
          <w:spacing w:val="0"/>
          <w:w w:val="100"/>
          <w:position w:val="0"/>
          <w:sz w:val="32"/>
          <w:szCs w:val="32"/>
          <w:lang w:val="en-US" w:eastAsia="zh-CN" w:bidi="zh-CN"/>
        </w:rPr>
        <w:t>14.</w:t>
      </w:r>
      <w:r>
        <w:rPr>
          <w:rFonts w:hint="eastAsia" w:ascii="仿宋_GB2312" w:hAnsi="仿宋_GB2312" w:eastAsia="仿宋_GB2312" w:cs="仿宋_GB2312"/>
          <w:color w:val="000000"/>
          <w:spacing w:val="0"/>
          <w:w w:val="100"/>
          <w:position w:val="0"/>
          <w:sz w:val="32"/>
          <w:szCs w:val="32"/>
          <w:lang w:val="zh-CN" w:eastAsia="zh-CN" w:bidi="zh-CN"/>
        </w:rPr>
        <w:t>优化办理流程情况。</w:t>
      </w:r>
      <w:bookmarkEnd w:id="10"/>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我局共优化办理环节2个，规范编制许可流程</w:t>
      </w:r>
      <w:r>
        <w:rPr>
          <w:rFonts w:hint="eastAsia" w:ascii="仿宋_GB2312" w:hAnsi="仿宋_GB2312" w:eastAsia="仿宋_GB2312" w:cs="仿宋_GB2312"/>
          <w:color w:val="000000"/>
          <w:w w:val="100"/>
          <w:position w:val="0"/>
          <w:sz w:val="32"/>
          <w:szCs w:val="32"/>
          <w:vertAlign w:val="superscript"/>
          <w:lang w:val="zh-CN" w:eastAsia="zh-CN" w:bidi="zh-CN"/>
        </w:rPr>
        <w:t>2</w:t>
      </w:r>
      <w:r>
        <w:rPr>
          <w:rFonts w:hint="eastAsia" w:ascii="仿宋_GB2312" w:hAnsi="仿宋_GB2312" w:eastAsia="仿宋_GB2312" w:cs="仿宋_GB2312"/>
          <w:color w:val="000000"/>
          <w:w w:val="100"/>
          <w:position w:val="0"/>
          <w:sz w:val="32"/>
          <w:szCs w:val="32"/>
          <w:lang w:val="zh-CN" w:eastAsia="zh-CN" w:bidi="zh-CN"/>
        </w:rPr>
        <w:t>个，优化办理流程涉及的事项分别是港澳台中医师内地医师资格认定和中医医院评审。优化了窗口办理流程图、网上办理流程图、内部审批流程图。</w:t>
      </w:r>
    </w:p>
    <w:p>
      <w:pPr>
        <w:pStyle w:val="17"/>
        <w:keepNext/>
        <w:keepLines/>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bookmarkStart w:id="11" w:name="bookmark13"/>
      <w:r>
        <w:rPr>
          <w:rFonts w:hint="eastAsia" w:ascii="仿宋_GB2312" w:hAnsi="仿宋_GB2312" w:eastAsia="仿宋_GB2312" w:cs="仿宋_GB2312"/>
          <w:color w:val="000000"/>
          <w:spacing w:val="0"/>
          <w:w w:val="100"/>
          <w:position w:val="0"/>
          <w:sz w:val="32"/>
          <w:szCs w:val="32"/>
          <w:lang w:val="en-US" w:eastAsia="zh-CN" w:bidi="zh-CN"/>
        </w:rPr>
        <w:t>15.</w:t>
      </w:r>
      <w:r>
        <w:rPr>
          <w:rFonts w:hint="eastAsia" w:ascii="仿宋_GB2312" w:hAnsi="仿宋_GB2312" w:eastAsia="仿宋_GB2312" w:cs="仿宋_GB2312"/>
          <w:color w:val="000000"/>
          <w:spacing w:val="0"/>
          <w:w w:val="100"/>
          <w:position w:val="0"/>
          <w:sz w:val="32"/>
          <w:szCs w:val="32"/>
          <w:lang w:val="zh-CN" w:eastAsia="zh-CN" w:bidi="zh-CN"/>
        </w:rPr>
        <w:t>精简规范办事材料情况。</w:t>
      </w:r>
      <w:bookmarkEnd w:id="11"/>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我局大力推行减证便民，减少办事材料，通过整合各类政务服务数据资源等方式，为群众办事提供便利，减少群众办事材料。</w:t>
      </w:r>
    </w:p>
    <w:p>
      <w:pPr>
        <w:pStyle w:val="17"/>
        <w:keepNext/>
        <w:keepLines/>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bookmarkStart w:id="12" w:name="bookmark14"/>
      <w:r>
        <w:rPr>
          <w:rFonts w:hint="eastAsia" w:ascii="仿宋_GB2312" w:hAnsi="仿宋_GB2312" w:eastAsia="仿宋_GB2312" w:cs="仿宋_GB2312"/>
          <w:color w:val="000000"/>
          <w:spacing w:val="0"/>
          <w:w w:val="100"/>
          <w:position w:val="0"/>
          <w:sz w:val="32"/>
          <w:szCs w:val="32"/>
          <w:lang w:val="en-US" w:eastAsia="zh-CN" w:bidi="zh-CN"/>
        </w:rPr>
        <w:t>16.</w:t>
      </w:r>
      <w:r>
        <w:rPr>
          <w:rFonts w:hint="eastAsia" w:ascii="仿宋_GB2312" w:hAnsi="仿宋_GB2312" w:eastAsia="仿宋_GB2312" w:cs="仿宋_GB2312"/>
          <w:color w:val="000000"/>
          <w:spacing w:val="0"/>
          <w:w w:val="100"/>
          <w:position w:val="0"/>
          <w:sz w:val="32"/>
          <w:szCs w:val="32"/>
          <w:lang w:val="zh-CN" w:eastAsia="zh-CN" w:bidi="zh-CN"/>
        </w:rPr>
        <w:t>缩短办事时限情况。</w:t>
      </w:r>
      <w:bookmarkEnd w:id="12"/>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我局所有行政许可事项的承诺时限均低于法定办理时限，所占比例为100%，事项为港澳台中医师内地医师资格认定。</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000000"/>
          <w:spacing w:val="0"/>
          <w:w w:val="100"/>
          <w:position w:val="0"/>
          <w:sz w:val="32"/>
          <w:szCs w:val="32"/>
          <w:lang w:val="zh-CN" w:eastAsia="zh-CN" w:bidi="zh-CN"/>
        </w:rPr>
        <w:t>(五）投诉举报和服务对象满意情况。</w:t>
      </w:r>
    </w:p>
    <w:p>
      <w:pPr>
        <w:pStyle w:val="17"/>
        <w:keepNext/>
        <w:keepLines/>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bookmarkStart w:id="13" w:name="bookmark15"/>
      <w:r>
        <w:rPr>
          <w:rFonts w:hint="eastAsia" w:ascii="仿宋_GB2312" w:hAnsi="仿宋_GB2312" w:eastAsia="仿宋_GB2312" w:cs="仿宋_GB2312"/>
          <w:color w:val="000000"/>
          <w:spacing w:val="0"/>
          <w:w w:val="100"/>
          <w:position w:val="0"/>
          <w:sz w:val="32"/>
          <w:szCs w:val="32"/>
          <w:lang w:val="en-US" w:eastAsia="zh-CN" w:bidi="zh-CN"/>
        </w:rPr>
        <w:t>17.</w:t>
      </w:r>
      <w:r>
        <w:rPr>
          <w:rFonts w:hint="eastAsia" w:ascii="仿宋_GB2312" w:hAnsi="仿宋_GB2312" w:eastAsia="仿宋_GB2312" w:cs="仿宋_GB2312"/>
          <w:color w:val="000000"/>
          <w:spacing w:val="0"/>
          <w:w w:val="100"/>
          <w:position w:val="0"/>
          <w:sz w:val="32"/>
          <w:szCs w:val="32"/>
          <w:lang w:val="zh-CN" w:eastAsia="zh-CN" w:bidi="zh-CN"/>
        </w:rPr>
        <w:t>政务服务“好差评”情况。</w:t>
      </w:r>
      <w:bookmarkEnd w:id="13"/>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6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我局的办理事项集中在网上办理，未设有政务服务窗口。</w:t>
      </w:r>
    </w:p>
    <w:p>
      <w:pPr>
        <w:pStyle w:val="17"/>
        <w:keepNext/>
        <w:keepLines/>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bookmarkStart w:id="14" w:name="bookmark16"/>
      <w:r>
        <w:rPr>
          <w:rFonts w:hint="eastAsia" w:ascii="仿宋_GB2312" w:hAnsi="仿宋_GB2312" w:eastAsia="仿宋_GB2312" w:cs="仿宋_GB2312"/>
          <w:color w:val="000000"/>
          <w:spacing w:val="0"/>
          <w:w w:val="100"/>
          <w:position w:val="0"/>
          <w:sz w:val="32"/>
          <w:szCs w:val="32"/>
          <w:lang w:val="en-US" w:eastAsia="zh-CN" w:bidi="zh-CN"/>
        </w:rPr>
        <w:t>18.</w:t>
      </w:r>
      <w:r>
        <w:rPr>
          <w:rFonts w:hint="eastAsia" w:ascii="仿宋_GB2312" w:hAnsi="仿宋_GB2312" w:eastAsia="仿宋_GB2312" w:cs="仿宋_GB2312"/>
          <w:color w:val="000000"/>
          <w:spacing w:val="0"/>
          <w:w w:val="100"/>
          <w:position w:val="0"/>
          <w:sz w:val="32"/>
          <w:szCs w:val="32"/>
          <w:lang w:val="zh-CN" w:eastAsia="zh-CN" w:bidi="zh-CN"/>
        </w:rPr>
        <w:t>咨询、投诉、求助、建议办理情况。</w:t>
      </w:r>
      <w:bookmarkEnd w:id="14"/>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6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我局建立省咨询投诉平台知识库更新维护机制，100</w:t>
      </w:r>
      <w:r>
        <w:rPr>
          <w:rFonts w:hint="eastAsia" w:ascii="仿宋_GB2312" w:hAnsi="仿宋_GB2312" w:eastAsia="仿宋_GB2312" w:cs="仿宋_GB2312"/>
          <w:color w:val="000000"/>
          <w:w w:val="100"/>
          <w:position w:val="0"/>
          <w:sz w:val="32"/>
          <w:szCs w:val="32"/>
          <w:lang w:val="en-US" w:eastAsia="zh-CN" w:bidi="zh-CN"/>
        </w:rPr>
        <w:t>%</w:t>
      </w:r>
      <w:r>
        <w:rPr>
          <w:rFonts w:hint="eastAsia" w:ascii="仿宋_GB2312" w:hAnsi="仿宋_GB2312" w:eastAsia="仿宋_GB2312" w:cs="仿宋_GB2312"/>
          <w:color w:val="000000"/>
          <w:w w:val="100"/>
          <w:position w:val="0"/>
          <w:sz w:val="32"/>
          <w:szCs w:val="32"/>
          <w:lang w:val="zh-CN" w:eastAsia="zh-CN" w:bidi="zh-CN"/>
        </w:rPr>
        <w:t>按时办结政务服务网、“12345”热线、“粤省事”“粤商通”“政务</w:t>
      </w:r>
      <w:r>
        <w:rPr>
          <w:rStyle w:val="20"/>
          <w:rFonts w:hint="eastAsia" w:ascii="仿宋_GB2312" w:hAnsi="仿宋_GB2312" w:eastAsia="仿宋_GB2312" w:cs="仿宋_GB2312"/>
          <w:b w:val="0"/>
          <w:bCs w:val="0"/>
          <w:i w:val="0"/>
          <w:iCs w:val="0"/>
          <w:smallCaps w:val="0"/>
          <w:strike w:val="0"/>
          <w:sz w:val="32"/>
          <w:szCs w:val="32"/>
        </w:rPr>
        <w:t>APP</w:t>
      </w:r>
      <w:r>
        <w:rPr>
          <w:rFonts w:hint="eastAsia" w:ascii="仿宋_GB2312" w:hAnsi="仿宋_GB2312" w:eastAsia="仿宋_GB2312" w:cs="仿宋_GB2312"/>
          <w:color w:val="000000"/>
          <w:w w:val="100"/>
          <w:position w:val="0"/>
          <w:sz w:val="32"/>
          <w:szCs w:val="32"/>
          <w:lang w:val="en-US" w:eastAsia="en-US" w:bidi="en-US"/>
        </w:rPr>
        <w:t>”</w:t>
      </w:r>
      <w:r>
        <w:rPr>
          <w:rFonts w:hint="eastAsia" w:ascii="仿宋_GB2312" w:hAnsi="仿宋_GB2312" w:eastAsia="仿宋_GB2312" w:cs="仿宋_GB2312"/>
          <w:color w:val="000000"/>
          <w:w w:val="100"/>
          <w:position w:val="0"/>
          <w:sz w:val="32"/>
          <w:szCs w:val="32"/>
          <w:lang w:val="zh-CN" w:eastAsia="zh-CN" w:bidi="zh-CN"/>
        </w:rPr>
        <w:t>渠道及省政府集约化平台、群众信访渠道转来的咨询、投诉、求助、建议事项工单，无被退回或超时答复情形。无举报类投诉。我局未收到差评。</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lang w:val="zh-CN" w:eastAsia="zh-CN" w:bidi="zh-CN"/>
        </w:rPr>
        <w:t>二、存在问题和困难</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Style w:val="22"/>
          <w:rFonts w:hint="eastAsia" w:ascii="楷体_GB2312" w:hAnsi="楷体_GB2312" w:eastAsia="楷体_GB2312" w:cs="楷体_GB2312"/>
          <w:b w:val="0"/>
          <w:bCs w:val="0"/>
          <w:i w:val="0"/>
          <w:iCs w:val="0"/>
          <w:smallCaps w:val="0"/>
          <w:strike w:val="0"/>
          <w:sz w:val="32"/>
          <w:szCs w:val="32"/>
        </w:rPr>
        <w:t>(一）系统功能不完善。</w:t>
      </w:r>
      <w:r>
        <w:rPr>
          <w:rFonts w:hint="eastAsia" w:ascii="仿宋_GB2312" w:hAnsi="仿宋_GB2312" w:eastAsia="仿宋_GB2312" w:cs="仿宋_GB2312"/>
          <w:color w:val="000000"/>
          <w:w w:val="100"/>
          <w:position w:val="0"/>
          <w:sz w:val="32"/>
          <w:szCs w:val="32"/>
          <w:lang w:val="zh-CN" w:eastAsia="zh-CN" w:bidi="zh-CN"/>
        </w:rPr>
        <w:t>一是省政务大数据中心没有查询统计、导出自定义报表、短信提醒等功能，需人工每天登录系统查阅是否有新信息、人工逐项统计数据资源共享申请和审批情况，耗费人力；二是广东省政务服务事项管理系统导出的政务服务事项信息（主要是事项目录）不完整，导出后还需人工核对；三是“好差评”系统未能在申请事项办结后24小时内向群众发送好差评满意度调查邀请，没有将评价指标量化为选择项只能文字表述评价，导致民众参与度不高。</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_GB2312" w:hAnsi="仿宋_GB2312" w:eastAsia="仿宋_GB2312" w:cs="仿宋_GB2312"/>
          <w:sz w:val="32"/>
          <w:szCs w:val="32"/>
        </w:rPr>
      </w:pPr>
      <w:r>
        <w:rPr>
          <w:rStyle w:val="23"/>
          <w:rFonts w:hint="eastAsia" w:ascii="楷体_GB2312" w:hAnsi="楷体_GB2312" w:eastAsia="楷体_GB2312" w:cs="楷体_GB2312"/>
          <w:b w:val="0"/>
          <w:bCs w:val="0"/>
          <w:i w:val="0"/>
          <w:iCs w:val="0"/>
          <w:smallCaps w:val="0"/>
          <w:strike w:val="0"/>
          <w:sz w:val="32"/>
          <w:szCs w:val="32"/>
        </w:rPr>
        <w:t>(二）网办系统对接、运行不顺畅</w:t>
      </w:r>
      <w:r>
        <w:rPr>
          <w:rFonts w:hint="eastAsia" w:ascii="楷体_GB2312" w:hAnsi="楷体_GB2312" w:eastAsia="楷体_GB2312" w:cs="楷体_GB2312"/>
          <w:b w:val="0"/>
          <w:bCs w:val="0"/>
          <w:color w:val="000000"/>
          <w:w w:val="100"/>
          <w:position w:val="0"/>
          <w:sz w:val="32"/>
          <w:szCs w:val="32"/>
          <w:lang w:val="zh-CN" w:eastAsia="zh-CN" w:bidi="zh-CN"/>
        </w:rPr>
        <w:t>。</w:t>
      </w:r>
      <w:r>
        <w:rPr>
          <w:rFonts w:hint="eastAsia" w:ascii="仿宋_GB2312" w:hAnsi="仿宋_GB2312" w:eastAsia="仿宋_GB2312" w:cs="仿宋_GB2312"/>
          <w:color w:val="000000"/>
          <w:w w:val="100"/>
          <w:position w:val="0"/>
          <w:sz w:val="32"/>
          <w:szCs w:val="32"/>
          <w:lang w:val="zh-CN" w:eastAsia="zh-CN" w:bidi="zh-CN"/>
        </w:rPr>
        <w:t>广东政务服务网与我局公共审批系统数据交换有延时，需要进一步优化系统配置。</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Style w:val="24"/>
          <w:rFonts w:hint="eastAsia" w:ascii="黑体" w:hAnsi="黑体" w:eastAsia="黑体" w:cs="黑体"/>
          <w:b w:val="0"/>
          <w:bCs w:val="0"/>
          <w:i w:val="0"/>
          <w:iCs w:val="0"/>
          <w:smallCaps w:val="0"/>
          <w:strike w:val="0"/>
          <w:sz w:val="32"/>
          <w:szCs w:val="32"/>
        </w:rPr>
      </w:pPr>
      <w:r>
        <w:rPr>
          <w:rStyle w:val="24"/>
          <w:rFonts w:hint="eastAsia" w:ascii="黑体" w:hAnsi="黑体" w:eastAsia="黑体" w:cs="黑体"/>
          <w:b w:val="0"/>
          <w:bCs w:val="0"/>
          <w:i w:val="0"/>
          <w:iCs w:val="0"/>
          <w:smallCaps w:val="0"/>
          <w:strike w:val="0"/>
          <w:sz w:val="32"/>
          <w:szCs w:val="32"/>
        </w:rPr>
        <w:t>三、下一步的工作措施及有关意见</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60" w:firstLineChars="200"/>
        <w:jc w:val="left"/>
        <w:textAlignment w:val="auto"/>
        <w:outlineLvl w:val="9"/>
        <w:rPr>
          <w:rFonts w:hint="eastAsia" w:ascii="仿宋_GB2312" w:hAnsi="仿宋_GB2312" w:eastAsia="仿宋_GB2312" w:cs="仿宋_GB2312"/>
          <w:b w:val="0"/>
          <w:bCs w:val="0"/>
          <w:sz w:val="32"/>
          <w:szCs w:val="32"/>
        </w:rPr>
        <w:sectPr>
          <w:footnotePr>
            <w:numFmt w:val="decimal"/>
          </w:footnotePr>
          <w:pgSz w:w="11900" w:h="16840"/>
          <w:pgMar w:top="1816" w:right="1601" w:bottom="2489" w:left="1356" w:header="0" w:footer="3" w:gutter="0"/>
          <w:cols w:space="720" w:num="1"/>
          <w:rtlGutter w:val="0"/>
          <w:docGrid w:linePitch="360" w:charSpace="0"/>
        </w:sectPr>
      </w:pPr>
      <w:r>
        <w:rPr>
          <w:rFonts w:hint="eastAsia" w:ascii="仿宋_GB2312" w:hAnsi="仿宋_GB2312" w:eastAsia="仿宋_GB2312" w:cs="仿宋_GB2312"/>
          <w:b w:val="0"/>
          <w:bCs w:val="0"/>
          <w:color w:val="000000"/>
          <w:w w:val="100"/>
          <w:position w:val="0"/>
          <w:sz w:val="32"/>
          <w:szCs w:val="32"/>
          <w:lang w:val="zh-CN" w:eastAsia="zh-CN" w:bidi="zh-CN"/>
        </w:rPr>
        <w:t>为进一步提升政务服务质量和效率，让群众少跑动易办事，我局将积极推进“数字政府”改革建设，优化政务服务流程，为办事群众和企业提供更多合理有效且人性化的服务，做好以下几方面工作：一是继续深化“放管服”改革转变政务职能工作，持续开展“减证便民”行动，以“照后减证”为重点，能取消的坚决取消，对暂时不具备取消条件的，通过“多证合一”、备案、告知承诺制、优化服务等方式方便群众；二是进一步加大对证明事项的清理减并力度，减少办事所需的证明、材料，压缩办理时限，认真梳理企业和群众办事最烦最难的领域和环节，通过深化“互联网+政务服务”，解决“反复跑、排长队”等现象。</w:t>
      </w:r>
    </w:p>
    <w:p>
      <w:pPr>
        <w:sectPr>
          <w:pgSz w:w="11906" w:h="16838"/>
          <w:pgMar w:top="1440" w:right="1800" w:bottom="1440" w:left="1800" w:header="851" w:footer="992" w:gutter="0"/>
          <w:cols w:space="425" w:num="1"/>
          <w:docGrid w:type="lines" w:linePitch="312" w:charSpace="0"/>
        </w:sectPr>
      </w:pPr>
    </w:p>
    <w:p>
      <w:pPr>
        <w:pStyle w:val="25"/>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23" w:firstLine="0"/>
        <w:textAlignment w:val="auto"/>
        <w:outlineLvl w:val="1"/>
        <w:rPr>
          <w:rFonts w:hint="eastAsia" w:ascii="方正小标宋简体" w:hAnsi="方正小标宋简体" w:eastAsia="方正小标宋简体" w:cs="方正小标宋简体"/>
        </w:rPr>
      </w:pPr>
      <w:bookmarkStart w:id="15" w:name="bookmark17"/>
      <w:r>
        <w:rPr>
          <w:rFonts w:hint="eastAsia" w:ascii="方正小标宋简体" w:hAnsi="方正小标宋简体" w:eastAsia="方正小标宋简体" w:cs="方正小标宋简体"/>
          <w:color w:val="000000"/>
          <w:spacing w:val="0"/>
          <w:w w:val="100"/>
          <w:position w:val="0"/>
          <w:lang w:val="zh-CN" w:eastAsia="zh-CN" w:bidi="zh-CN"/>
        </w:rPr>
        <w:t>广东省中医药局2019年度行政审批和政务服务效能情况一览表</w:t>
      </w:r>
      <w:bookmarkEnd w:id="15"/>
    </w:p>
    <w:tbl>
      <w:tblPr>
        <w:tblStyle w:val="5"/>
        <w:tblW w:w="14192" w:type="dxa"/>
        <w:jc w:val="center"/>
        <w:tblInd w:w="0" w:type="dxa"/>
        <w:tblLayout w:type="fixed"/>
        <w:tblCellMar>
          <w:top w:w="0" w:type="dxa"/>
          <w:left w:w="10" w:type="dxa"/>
          <w:bottom w:w="0" w:type="dxa"/>
          <w:right w:w="10" w:type="dxa"/>
        </w:tblCellMar>
      </w:tblPr>
      <w:tblGrid>
        <w:gridCol w:w="1058"/>
        <w:gridCol w:w="1620"/>
        <w:gridCol w:w="1910"/>
        <w:gridCol w:w="1827"/>
        <w:gridCol w:w="1944"/>
        <w:gridCol w:w="367"/>
        <w:gridCol w:w="1174"/>
        <w:gridCol w:w="1210"/>
        <w:gridCol w:w="360"/>
        <w:gridCol w:w="1498"/>
        <w:gridCol w:w="1224"/>
      </w:tblGrid>
      <w:tr>
        <w:tblPrEx>
          <w:tblLayout w:type="fixed"/>
          <w:tblCellMar>
            <w:top w:w="0" w:type="dxa"/>
            <w:left w:w="10" w:type="dxa"/>
            <w:bottom w:w="0" w:type="dxa"/>
            <w:right w:w="10" w:type="dxa"/>
          </w:tblCellMar>
        </w:tblPrEx>
        <w:trPr>
          <w:trHeight w:val="1015" w:hRule="exact"/>
          <w:jc w:val="center"/>
        </w:trPr>
        <w:tc>
          <w:tcPr>
            <w:tcW w:w="1058" w:type="dxa"/>
            <w:vMerge w:val="restart"/>
            <w:tcBorders>
              <w:top w:val="single" w:color="auto" w:sz="4" w:space="0"/>
              <w:lef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转变政府</w:t>
            </w:r>
          </w:p>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职能深化</w:t>
            </w:r>
          </w:p>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行政审批</w:t>
            </w:r>
          </w:p>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改革落实</w:t>
            </w:r>
          </w:p>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情况</w:t>
            </w:r>
          </w:p>
        </w:tc>
        <w:tc>
          <w:tcPr>
            <w:tcW w:w="7668" w:type="dxa"/>
            <w:gridSpan w:val="5"/>
            <w:tcBorders>
              <w:top w:val="single" w:color="auto" w:sz="4" w:space="0"/>
              <w:lef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2019年省本级取消、下放行政许可事项落实</w:t>
            </w:r>
          </w:p>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行政许可事项标准实施</w:t>
            </w:r>
          </w:p>
        </w:tc>
        <w:tc>
          <w:tcPr>
            <w:tcW w:w="5466" w:type="dxa"/>
            <w:gridSpan w:val="5"/>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行政审批中介服务改革</w:t>
            </w:r>
          </w:p>
        </w:tc>
      </w:tr>
      <w:tr>
        <w:tblPrEx>
          <w:tblLayout w:type="fixed"/>
          <w:tblCellMar>
            <w:top w:w="0" w:type="dxa"/>
            <w:left w:w="10" w:type="dxa"/>
            <w:bottom w:w="0" w:type="dxa"/>
            <w:right w:w="10" w:type="dxa"/>
          </w:tblCellMar>
        </w:tblPrEx>
        <w:trPr>
          <w:trHeight w:val="1210" w:hRule="exact"/>
          <w:jc w:val="center"/>
        </w:trPr>
        <w:tc>
          <w:tcPr>
            <w:tcW w:w="1058" w:type="dxa"/>
            <w:vMerge w:val="continue"/>
            <w:tcBorders>
              <w:left w:val="single" w:color="auto" w:sz="4" w:space="0"/>
            </w:tcBorders>
            <w:shd w:val="clear" w:color="auto" w:fill="FFFFFF"/>
            <w:vAlign w:val="center"/>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rPr>
            </w:pPr>
          </w:p>
        </w:tc>
        <w:tc>
          <w:tcPr>
            <w:tcW w:w="1620" w:type="dxa"/>
            <w:vMerge w:val="restart"/>
            <w:tcBorders>
              <w:top w:val="single" w:color="auto" w:sz="4" w:space="0"/>
              <w:lef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委托下放事项数</w:t>
            </w:r>
          </w:p>
        </w:tc>
        <w:tc>
          <w:tcPr>
            <w:tcW w:w="1910" w:type="dxa"/>
            <w:vMerge w:val="restart"/>
            <w:tcBorders>
              <w:top w:val="single" w:color="auto" w:sz="4" w:space="0"/>
              <w:lef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取消的事项数</w:t>
            </w:r>
          </w:p>
        </w:tc>
        <w:tc>
          <w:tcPr>
            <w:tcW w:w="1827" w:type="dxa"/>
            <w:vMerge w:val="restart"/>
            <w:tcBorders>
              <w:top w:val="single" w:color="auto" w:sz="4" w:space="0"/>
              <w:lef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未落实</w:t>
            </w:r>
          </w:p>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事项数</w:t>
            </w:r>
          </w:p>
        </w:tc>
        <w:tc>
          <w:tcPr>
            <w:tcW w:w="2311" w:type="dxa"/>
            <w:gridSpan w:val="2"/>
            <w:vMerge w:val="restart"/>
            <w:tcBorders>
              <w:top w:val="single" w:color="auto" w:sz="4" w:space="0"/>
              <w:lef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未落实</w:t>
            </w:r>
          </w:p>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原因说明</w:t>
            </w:r>
          </w:p>
        </w:tc>
        <w:tc>
          <w:tcPr>
            <w:tcW w:w="2744" w:type="dxa"/>
            <w:gridSpan w:val="3"/>
            <w:tcBorders>
              <w:top w:val="single" w:color="auto" w:sz="4" w:space="0"/>
              <w:lef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2019年保留的行政审批中介</w:t>
            </w:r>
          </w:p>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服务</w:t>
            </w:r>
          </w:p>
        </w:tc>
        <w:tc>
          <w:tcPr>
            <w:tcW w:w="2722" w:type="dxa"/>
            <w:gridSpan w:val="2"/>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财政性资金项目在网上中介</w:t>
            </w:r>
          </w:p>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超市选取情况</w:t>
            </w:r>
          </w:p>
        </w:tc>
      </w:tr>
      <w:tr>
        <w:tblPrEx>
          <w:tblLayout w:type="fixed"/>
          <w:tblCellMar>
            <w:top w:w="0" w:type="dxa"/>
            <w:left w:w="10" w:type="dxa"/>
            <w:bottom w:w="0" w:type="dxa"/>
            <w:right w:w="10" w:type="dxa"/>
          </w:tblCellMar>
        </w:tblPrEx>
        <w:trPr>
          <w:trHeight w:val="990" w:hRule="exact"/>
          <w:jc w:val="center"/>
        </w:trPr>
        <w:tc>
          <w:tcPr>
            <w:tcW w:w="1058" w:type="dxa"/>
            <w:vMerge w:val="continue"/>
            <w:tcBorders>
              <w:left w:val="single" w:color="auto" w:sz="4" w:space="0"/>
            </w:tcBorders>
            <w:shd w:val="clear" w:color="auto" w:fill="FFFFFF"/>
            <w:vAlign w:val="center"/>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rPr>
            </w:pPr>
          </w:p>
        </w:tc>
        <w:tc>
          <w:tcPr>
            <w:tcW w:w="1620" w:type="dxa"/>
            <w:vMerge w:val="continue"/>
            <w:tcBorders>
              <w:left w:val="single" w:color="auto" w:sz="4" w:space="0"/>
            </w:tcBorders>
            <w:shd w:val="clear" w:color="auto" w:fill="FFFFFF"/>
            <w:vAlign w:val="center"/>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jc w:val="center"/>
              <w:textAlignment w:val="auto"/>
              <w:outlineLvl w:val="9"/>
              <w:rPr>
                <w:rFonts w:hint="eastAsia" w:ascii="仿宋_GB2312" w:hAnsi="仿宋_GB2312" w:eastAsia="仿宋_GB2312" w:cs="仿宋_GB2312"/>
              </w:rPr>
            </w:pPr>
          </w:p>
        </w:tc>
        <w:tc>
          <w:tcPr>
            <w:tcW w:w="1910" w:type="dxa"/>
            <w:vMerge w:val="continue"/>
            <w:tcBorders>
              <w:left w:val="single" w:color="auto" w:sz="4" w:space="0"/>
            </w:tcBorders>
            <w:shd w:val="clear" w:color="auto" w:fill="FFFFFF"/>
            <w:vAlign w:val="center"/>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jc w:val="center"/>
              <w:textAlignment w:val="auto"/>
              <w:outlineLvl w:val="9"/>
              <w:rPr>
                <w:rFonts w:hint="eastAsia" w:ascii="仿宋_GB2312" w:hAnsi="仿宋_GB2312" w:eastAsia="仿宋_GB2312" w:cs="仿宋_GB2312"/>
              </w:rPr>
            </w:pPr>
          </w:p>
        </w:tc>
        <w:tc>
          <w:tcPr>
            <w:tcW w:w="1827" w:type="dxa"/>
            <w:vMerge w:val="continue"/>
            <w:tcBorders>
              <w:left w:val="single" w:color="auto" w:sz="4" w:space="0"/>
            </w:tcBorders>
            <w:shd w:val="clear" w:color="auto" w:fill="FFFFFF"/>
            <w:vAlign w:val="center"/>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jc w:val="center"/>
              <w:textAlignment w:val="auto"/>
              <w:outlineLvl w:val="9"/>
              <w:rPr>
                <w:rFonts w:hint="eastAsia" w:ascii="仿宋_GB2312" w:hAnsi="仿宋_GB2312" w:eastAsia="仿宋_GB2312" w:cs="仿宋_GB2312"/>
              </w:rPr>
            </w:pPr>
          </w:p>
        </w:tc>
        <w:tc>
          <w:tcPr>
            <w:tcW w:w="2311" w:type="dxa"/>
            <w:gridSpan w:val="2"/>
            <w:vMerge w:val="continue"/>
            <w:tcBorders>
              <w:left w:val="single" w:color="auto" w:sz="4" w:space="0"/>
            </w:tcBorders>
            <w:shd w:val="clear" w:color="auto" w:fill="FFFFFF"/>
            <w:vAlign w:val="center"/>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jc w:val="center"/>
              <w:textAlignment w:val="auto"/>
              <w:outlineLvl w:val="9"/>
              <w:rPr>
                <w:rFonts w:hint="eastAsia" w:ascii="仿宋_GB2312" w:hAnsi="仿宋_GB2312" w:eastAsia="仿宋_GB2312" w:cs="仿宋_GB2312"/>
              </w:rPr>
            </w:pPr>
          </w:p>
        </w:tc>
        <w:tc>
          <w:tcPr>
            <w:tcW w:w="1174" w:type="dxa"/>
            <w:tcBorders>
              <w:top w:val="single" w:color="auto" w:sz="4" w:space="0"/>
              <w:lef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中介服务数量</w:t>
            </w:r>
          </w:p>
        </w:tc>
        <w:tc>
          <w:tcPr>
            <w:tcW w:w="1570" w:type="dxa"/>
            <w:gridSpan w:val="2"/>
            <w:tcBorders>
              <w:top w:val="single" w:color="auto" w:sz="4" w:space="0"/>
              <w:left w:val="single" w:color="auto" w:sz="4" w:space="0"/>
            </w:tcBorders>
            <w:shd w:val="clear" w:color="auto" w:fill="FFFFFF"/>
            <w:vAlign w:val="top"/>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在网上中介服务超市更新事项要素的数量</w:t>
            </w:r>
          </w:p>
        </w:tc>
        <w:tc>
          <w:tcPr>
            <w:tcW w:w="1498" w:type="dxa"/>
            <w:tcBorders>
              <w:top w:val="single" w:color="auto" w:sz="4" w:space="0"/>
              <w:lef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项目数量</w:t>
            </w:r>
          </w:p>
        </w:tc>
        <w:tc>
          <w:tcPr>
            <w:tcW w:w="1224"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项目金额</w:t>
            </w:r>
          </w:p>
        </w:tc>
      </w:tr>
      <w:tr>
        <w:tblPrEx>
          <w:tblLayout w:type="fixed"/>
          <w:tblCellMar>
            <w:top w:w="0" w:type="dxa"/>
            <w:left w:w="10" w:type="dxa"/>
            <w:bottom w:w="0" w:type="dxa"/>
            <w:right w:w="10" w:type="dxa"/>
          </w:tblCellMar>
        </w:tblPrEx>
        <w:trPr>
          <w:trHeight w:val="576" w:hRule="exact"/>
          <w:jc w:val="center"/>
        </w:trPr>
        <w:tc>
          <w:tcPr>
            <w:tcW w:w="1058" w:type="dxa"/>
            <w:vMerge w:val="continue"/>
            <w:tcBorders>
              <w:left w:val="single" w:color="auto" w:sz="4" w:space="0"/>
            </w:tcBorders>
            <w:shd w:val="clear" w:color="auto" w:fill="FFFFFF"/>
            <w:vAlign w:val="center"/>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rPr>
            </w:pPr>
          </w:p>
        </w:tc>
        <w:tc>
          <w:tcPr>
            <w:tcW w:w="1620" w:type="dxa"/>
            <w:tcBorders>
              <w:top w:val="single" w:color="auto" w:sz="4" w:space="0"/>
              <w:lef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3</w:t>
            </w:r>
          </w:p>
        </w:tc>
        <w:tc>
          <w:tcPr>
            <w:tcW w:w="1910" w:type="dxa"/>
            <w:tcBorders>
              <w:top w:val="single" w:color="auto" w:sz="4" w:space="0"/>
              <w:lef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0</w:t>
            </w:r>
          </w:p>
        </w:tc>
        <w:tc>
          <w:tcPr>
            <w:tcW w:w="1827" w:type="dxa"/>
            <w:tcBorders>
              <w:top w:val="single" w:color="auto" w:sz="4" w:space="0"/>
              <w:lef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0</w:t>
            </w:r>
          </w:p>
        </w:tc>
        <w:tc>
          <w:tcPr>
            <w:tcW w:w="2311" w:type="dxa"/>
            <w:gridSpan w:val="2"/>
            <w:tcBorders>
              <w:top w:val="single" w:color="auto" w:sz="4" w:space="0"/>
              <w:lef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无</w:t>
            </w:r>
          </w:p>
        </w:tc>
        <w:tc>
          <w:tcPr>
            <w:tcW w:w="1174" w:type="dxa"/>
            <w:tcBorders>
              <w:top w:val="single" w:color="auto" w:sz="4" w:space="0"/>
              <w:lef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无</w:t>
            </w:r>
          </w:p>
        </w:tc>
        <w:tc>
          <w:tcPr>
            <w:tcW w:w="1570" w:type="dxa"/>
            <w:gridSpan w:val="2"/>
            <w:tcBorders>
              <w:top w:val="single" w:color="auto" w:sz="4" w:space="0"/>
              <w:left w:val="single" w:color="auto" w:sz="4" w:space="0"/>
            </w:tcBorders>
            <w:shd w:val="clear" w:color="auto" w:fill="FFFFFF"/>
            <w:vAlign w:val="top"/>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498" w:type="dxa"/>
            <w:tcBorders>
              <w:top w:val="single" w:color="auto" w:sz="4" w:space="0"/>
              <w:left w:val="single" w:color="auto" w:sz="4" w:space="0"/>
            </w:tcBorders>
            <w:shd w:val="clear" w:color="auto" w:fill="FFFFFF"/>
            <w:vAlign w:val="top"/>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224"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r>
      <w:tr>
        <w:tblPrEx>
          <w:tblLayout w:type="fixed"/>
          <w:tblCellMar>
            <w:top w:w="0" w:type="dxa"/>
            <w:left w:w="10" w:type="dxa"/>
            <w:bottom w:w="0" w:type="dxa"/>
            <w:right w:w="10" w:type="dxa"/>
          </w:tblCellMar>
        </w:tblPrEx>
        <w:trPr>
          <w:trHeight w:val="576" w:hRule="exact"/>
          <w:jc w:val="center"/>
        </w:trPr>
        <w:tc>
          <w:tcPr>
            <w:tcW w:w="1058" w:type="dxa"/>
            <w:vMerge w:val="continue"/>
            <w:tcBorders>
              <w:left w:val="single" w:color="auto" w:sz="4" w:space="0"/>
            </w:tcBorders>
            <w:shd w:val="clear" w:color="auto" w:fill="FFFFFF"/>
            <w:vAlign w:val="center"/>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rPr>
            </w:pPr>
          </w:p>
        </w:tc>
        <w:tc>
          <w:tcPr>
            <w:tcW w:w="1620" w:type="dxa"/>
            <w:tcBorders>
              <w:top w:val="single" w:color="auto" w:sz="4" w:space="0"/>
              <w:left w:val="single" w:color="auto" w:sz="4" w:space="0"/>
            </w:tcBorders>
            <w:shd w:val="clear" w:color="auto" w:fill="FFFFFF"/>
            <w:vAlign w:val="top"/>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910" w:type="dxa"/>
            <w:tcBorders>
              <w:top w:val="single" w:color="auto" w:sz="4" w:space="0"/>
              <w:left w:val="single" w:color="auto" w:sz="4" w:space="0"/>
            </w:tcBorders>
            <w:shd w:val="clear" w:color="auto" w:fill="FFFFFF"/>
            <w:vAlign w:val="top"/>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827" w:type="dxa"/>
            <w:tcBorders>
              <w:top w:val="single" w:color="auto" w:sz="4" w:space="0"/>
              <w:left w:val="single" w:color="auto" w:sz="4" w:space="0"/>
            </w:tcBorders>
            <w:shd w:val="clear" w:color="auto" w:fill="FFFFFF"/>
            <w:vAlign w:val="top"/>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2311" w:type="dxa"/>
            <w:gridSpan w:val="2"/>
            <w:tcBorders>
              <w:top w:val="single" w:color="auto" w:sz="4" w:space="0"/>
              <w:left w:val="single" w:color="auto" w:sz="4" w:space="0"/>
            </w:tcBorders>
            <w:shd w:val="clear" w:color="auto" w:fill="FFFFFF"/>
            <w:vAlign w:val="top"/>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174" w:type="dxa"/>
            <w:tcBorders>
              <w:top w:val="single" w:color="auto" w:sz="4" w:space="0"/>
              <w:left w:val="single" w:color="auto" w:sz="4" w:space="0"/>
            </w:tcBorders>
            <w:shd w:val="clear" w:color="auto" w:fill="FFFFFF"/>
            <w:vAlign w:val="top"/>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570" w:type="dxa"/>
            <w:gridSpan w:val="2"/>
            <w:tcBorders>
              <w:top w:val="single" w:color="auto" w:sz="4" w:space="0"/>
              <w:left w:val="single" w:color="auto" w:sz="4" w:space="0"/>
            </w:tcBorders>
            <w:shd w:val="clear" w:color="auto" w:fill="FFFFFF"/>
            <w:vAlign w:val="top"/>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498" w:type="dxa"/>
            <w:tcBorders>
              <w:top w:val="single" w:color="auto" w:sz="4" w:space="0"/>
              <w:left w:val="single" w:color="auto" w:sz="4" w:space="0"/>
            </w:tcBorders>
            <w:shd w:val="clear" w:color="auto" w:fill="FFFFFF"/>
            <w:vAlign w:val="top"/>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224"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r>
      <w:tr>
        <w:tblPrEx>
          <w:tblLayout w:type="fixed"/>
          <w:tblCellMar>
            <w:top w:w="0" w:type="dxa"/>
            <w:left w:w="10" w:type="dxa"/>
            <w:bottom w:w="0" w:type="dxa"/>
            <w:right w:w="10" w:type="dxa"/>
          </w:tblCellMar>
        </w:tblPrEx>
        <w:trPr>
          <w:trHeight w:val="569" w:hRule="exact"/>
          <w:jc w:val="center"/>
        </w:trPr>
        <w:tc>
          <w:tcPr>
            <w:tcW w:w="1058" w:type="dxa"/>
            <w:vMerge w:val="restart"/>
            <w:tcBorders>
              <w:top w:val="single" w:color="auto" w:sz="4" w:space="0"/>
              <w:left w:val="single" w:color="auto" w:sz="4" w:space="0"/>
            </w:tcBorders>
            <w:shd w:val="clear" w:color="auto" w:fill="FFFFFF"/>
            <w:vAlign w:val="top"/>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行政许可</w:t>
            </w:r>
          </w:p>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事项实施</w:t>
            </w:r>
          </w:p>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情况</w:t>
            </w:r>
          </w:p>
        </w:tc>
        <w:tc>
          <w:tcPr>
            <w:tcW w:w="3530" w:type="dxa"/>
            <w:gridSpan w:val="2"/>
            <w:tcBorders>
              <w:top w:val="single" w:color="auto" w:sz="4" w:space="0"/>
              <w:lef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不予受理或不予批准</w:t>
            </w:r>
          </w:p>
        </w:tc>
        <w:tc>
          <w:tcPr>
            <w:tcW w:w="3771" w:type="dxa"/>
            <w:gridSpan w:val="2"/>
            <w:tcBorders>
              <w:top w:val="single" w:color="auto" w:sz="4" w:space="0"/>
              <w:lef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到现场跑动次数超过3次</w:t>
            </w:r>
          </w:p>
        </w:tc>
        <w:tc>
          <w:tcPr>
            <w:tcW w:w="2751" w:type="dxa"/>
            <w:gridSpan w:val="3"/>
            <w:tcBorders>
              <w:top w:val="single" w:color="auto" w:sz="4" w:space="0"/>
              <w:lef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未实现网上全流程办理</w:t>
            </w:r>
          </w:p>
        </w:tc>
        <w:tc>
          <w:tcPr>
            <w:tcW w:w="3082" w:type="dxa"/>
            <w:gridSpan w:val="3"/>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未公开公示办事指南和审批结果</w:t>
            </w:r>
          </w:p>
        </w:tc>
      </w:tr>
      <w:tr>
        <w:tblPrEx>
          <w:tblLayout w:type="fixed"/>
          <w:tblCellMar>
            <w:top w:w="0" w:type="dxa"/>
            <w:left w:w="10" w:type="dxa"/>
            <w:bottom w:w="0" w:type="dxa"/>
            <w:right w:w="10" w:type="dxa"/>
          </w:tblCellMar>
        </w:tblPrEx>
        <w:trPr>
          <w:trHeight w:val="598" w:hRule="exact"/>
          <w:jc w:val="center"/>
        </w:trPr>
        <w:tc>
          <w:tcPr>
            <w:tcW w:w="1058" w:type="dxa"/>
            <w:vMerge w:val="continue"/>
            <w:tcBorders>
              <w:left w:val="single" w:color="auto" w:sz="4" w:space="0"/>
              <w:bottom w:val="single" w:color="auto" w:sz="4" w:space="0"/>
            </w:tcBorders>
            <w:shd w:val="clear" w:color="auto" w:fill="FFFFFF"/>
            <w:vAlign w:val="top"/>
          </w:tcPr>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jc w:val="center"/>
              <w:textAlignment w:val="auto"/>
              <w:outlineLvl w:val="9"/>
              <w:rPr>
                <w:rFonts w:hint="eastAsia" w:ascii="仿宋_GB2312" w:hAnsi="仿宋_GB2312" w:eastAsia="仿宋_GB2312" w:cs="仿宋_GB2312"/>
              </w:rPr>
            </w:pPr>
          </w:p>
        </w:tc>
        <w:tc>
          <w:tcPr>
            <w:tcW w:w="3530" w:type="dxa"/>
            <w:gridSpan w:val="2"/>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tabs>
                <w:tab w:val="left" w:pos="1202"/>
                <w:tab w:val="left" w:pos="2196"/>
              </w:tabs>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事项数</w:t>
            </w:r>
            <w:r>
              <w:rPr>
                <w:rStyle w:val="26"/>
                <w:rFonts w:hint="eastAsia" w:ascii="仿宋_GB2312" w:hAnsi="仿宋_GB2312" w:eastAsia="仿宋_GB2312" w:cs="仿宋_GB2312"/>
                <w:b w:val="0"/>
                <w:bCs w:val="0"/>
                <w:i w:val="0"/>
                <w:iCs w:val="0"/>
                <w:smallCaps w:val="0"/>
                <w:strike w:val="0"/>
              </w:rPr>
              <w:tab/>
            </w:r>
            <w:r>
              <w:rPr>
                <w:rStyle w:val="26"/>
                <w:rFonts w:hint="eastAsia" w:ascii="仿宋_GB2312" w:hAnsi="仿宋_GB2312" w:eastAsia="仿宋_GB2312" w:cs="仿宋_GB2312"/>
                <w:b w:val="0"/>
                <w:bCs w:val="0"/>
                <w:i w:val="0"/>
                <w:iCs w:val="0"/>
                <w:smallCaps w:val="0"/>
                <w:strike w:val="0"/>
              </w:rPr>
              <w:t>件数</w:t>
            </w:r>
            <w:r>
              <w:rPr>
                <w:rStyle w:val="26"/>
                <w:rFonts w:hint="eastAsia" w:ascii="仿宋_GB2312" w:hAnsi="仿宋_GB2312" w:eastAsia="仿宋_GB2312" w:cs="仿宋_GB2312"/>
                <w:b w:val="0"/>
                <w:bCs w:val="0"/>
                <w:i w:val="0"/>
                <w:iCs w:val="0"/>
                <w:smallCaps w:val="0"/>
                <w:strike w:val="0"/>
              </w:rPr>
              <w:tab/>
            </w:r>
            <w:r>
              <w:rPr>
                <w:rStyle w:val="26"/>
                <w:rFonts w:hint="eastAsia" w:ascii="仿宋_GB2312" w:hAnsi="仿宋_GB2312" w:eastAsia="仿宋_GB2312" w:cs="仿宋_GB2312"/>
                <w:b w:val="0"/>
                <w:bCs w:val="0"/>
                <w:i w:val="0"/>
                <w:iCs w:val="0"/>
                <w:smallCaps w:val="0"/>
                <w:strike w:val="0"/>
              </w:rPr>
              <w:t>原因说明</w:t>
            </w:r>
          </w:p>
        </w:tc>
        <w:tc>
          <w:tcPr>
            <w:tcW w:w="3771" w:type="dxa"/>
            <w:gridSpan w:val="2"/>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tabs>
                <w:tab w:val="left" w:pos="1771"/>
              </w:tabs>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事项数</w:t>
            </w:r>
            <w:r>
              <w:rPr>
                <w:rStyle w:val="26"/>
                <w:rFonts w:hint="eastAsia" w:ascii="仿宋_GB2312" w:hAnsi="仿宋_GB2312" w:eastAsia="仿宋_GB2312" w:cs="仿宋_GB2312"/>
                <w:b w:val="0"/>
                <w:bCs w:val="0"/>
                <w:i w:val="0"/>
                <w:iCs w:val="0"/>
                <w:smallCaps w:val="0"/>
                <w:strike w:val="0"/>
              </w:rPr>
              <w:tab/>
            </w:r>
            <w:r>
              <w:rPr>
                <w:rStyle w:val="26"/>
                <w:rFonts w:hint="eastAsia" w:ascii="仿宋_GB2312" w:hAnsi="仿宋_GB2312" w:eastAsia="仿宋_GB2312" w:cs="仿宋_GB2312"/>
                <w:b w:val="0"/>
                <w:bCs w:val="0"/>
                <w:i w:val="0"/>
                <w:iCs w:val="0"/>
                <w:smallCaps w:val="0"/>
                <w:strike w:val="0"/>
              </w:rPr>
              <w:t>原因说明</w:t>
            </w:r>
          </w:p>
        </w:tc>
        <w:tc>
          <w:tcPr>
            <w:tcW w:w="2751" w:type="dxa"/>
            <w:gridSpan w:val="3"/>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tabs>
                <w:tab w:val="left" w:pos="1260"/>
              </w:tabs>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事项数</w:t>
            </w:r>
            <w:r>
              <w:rPr>
                <w:rStyle w:val="26"/>
                <w:rFonts w:hint="eastAsia" w:ascii="仿宋_GB2312" w:hAnsi="仿宋_GB2312" w:eastAsia="仿宋_GB2312" w:cs="仿宋_GB2312"/>
                <w:b w:val="0"/>
                <w:bCs w:val="0"/>
                <w:i w:val="0"/>
                <w:iCs w:val="0"/>
                <w:smallCaps w:val="0"/>
                <w:strike w:val="0"/>
              </w:rPr>
              <w:tab/>
            </w:r>
            <w:r>
              <w:rPr>
                <w:rStyle w:val="26"/>
                <w:rFonts w:hint="eastAsia" w:ascii="仿宋_GB2312" w:hAnsi="仿宋_GB2312" w:eastAsia="仿宋_GB2312" w:cs="仿宋_GB2312"/>
                <w:b w:val="0"/>
                <w:bCs w:val="0"/>
                <w:i w:val="0"/>
                <w:iCs w:val="0"/>
                <w:smallCaps w:val="0"/>
                <w:strike w:val="0"/>
              </w:rPr>
              <w:t>原因说明</w:t>
            </w:r>
          </w:p>
        </w:tc>
        <w:tc>
          <w:tcPr>
            <w:tcW w:w="308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pageBreakBefore w:val="0"/>
              <w:framePr w:w="14191" w:wrap="notBeside" w:vAnchor="text" w:hAnchor="text" w:xAlign="center" w:y="1"/>
              <w:widowControl w:val="0"/>
              <w:shd w:val="clear" w:color="auto" w:fill="auto"/>
              <w:tabs>
                <w:tab w:val="left" w:pos="1375"/>
              </w:tabs>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事项数</w:t>
            </w:r>
            <w:r>
              <w:rPr>
                <w:rStyle w:val="26"/>
                <w:rFonts w:hint="eastAsia" w:ascii="仿宋_GB2312" w:hAnsi="仿宋_GB2312" w:eastAsia="仿宋_GB2312" w:cs="仿宋_GB2312"/>
                <w:b w:val="0"/>
                <w:bCs w:val="0"/>
                <w:i w:val="0"/>
                <w:iCs w:val="0"/>
                <w:smallCaps w:val="0"/>
                <w:strike w:val="0"/>
              </w:rPr>
              <w:tab/>
            </w:r>
            <w:r>
              <w:rPr>
                <w:rStyle w:val="26"/>
                <w:rFonts w:hint="eastAsia" w:ascii="仿宋_GB2312" w:hAnsi="仿宋_GB2312" w:eastAsia="仿宋_GB2312" w:cs="仿宋_GB2312"/>
                <w:b w:val="0"/>
                <w:bCs w:val="0"/>
                <w:i w:val="0"/>
                <w:iCs w:val="0"/>
                <w:smallCaps w:val="0"/>
                <w:strike w:val="0"/>
              </w:rPr>
              <w:t>原因说明</w:t>
            </w:r>
          </w:p>
        </w:tc>
      </w:tr>
    </w:tbl>
    <w:p>
      <w:pPr>
        <w:keepNext w:val="0"/>
        <w:keepLines w:val="0"/>
        <w:pageBreakBefore w:val="0"/>
        <w:framePr w:w="14191"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2"/>
          <w:szCs w:val="2"/>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2"/>
          <w:szCs w:val="2"/>
        </w:rPr>
      </w:pPr>
    </w:p>
    <w:tbl>
      <w:tblPr>
        <w:tblStyle w:val="5"/>
        <w:tblW w:w="14227" w:type="dxa"/>
        <w:jc w:val="center"/>
        <w:tblInd w:w="0" w:type="dxa"/>
        <w:tblLayout w:type="fixed"/>
        <w:tblCellMar>
          <w:top w:w="0" w:type="dxa"/>
          <w:left w:w="10" w:type="dxa"/>
          <w:bottom w:w="0" w:type="dxa"/>
          <w:right w:w="10" w:type="dxa"/>
        </w:tblCellMar>
      </w:tblPr>
      <w:tblGrid>
        <w:gridCol w:w="1051"/>
        <w:gridCol w:w="1044"/>
        <w:gridCol w:w="1188"/>
        <w:gridCol w:w="1224"/>
        <w:gridCol w:w="1555"/>
        <w:gridCol w:w="2318"/>
        <w:gridCol w:w="1174"/>
        <w:gridCol w:w="1570"/>
        <w:gridCol w:w="1253"/>
        <w:gridCol w:w="1850"/>
      </w:tblGrid>
      <w:tr>
        <w:tblPrEx>
          <w:tblLayout w:type="fixed"/>
          <w:tblCellMar>
            <w:top w:w="0" w:type="dxa"/>
            <w:left w:w="10" w:type="dxa"/>
            <w:bottom w:w="0" w:type="dxa"/>
            <w:right w:w="10" w:type="dxa"/>
          </w:tblCellMar>
        </w:tblPrEx>
        <w:trPr>
          <w:trHeight w:val="1766" w:hRule="exact"/>
          <w:jc w:val="center"/>
        </w:trPr>
        <w:tc>
          <w:tcPr>
            <w:tcW w:w="1051" w:type="dxa"/>
            <w:tcBorders>
              <w:top w:val="single" w:color="auto" w:sz="4" w:space="0"/>
              <w:lef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044"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1</w:t>
            </w:r>
          </w:p>
        </w:tc>
        <w:tc>
          <w:tcPr>
            <w:tcW w:w="1188"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5</w:t>
            </w:r>
          </w:p>
        </w:tc>
        <w:tc>
          <w:tcPr>
            <w:tcW w:w="1224"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均因为任职注册中医的时间未能达到文件规定要求</w:t>
            </w:r>
          </w:p>
        </w:tc>
        <w:tc>
          <w:tcPr>
            <w:tcW w:w="1555"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0</w:t>
            </w:r>
          </w:p>
        </w:tc>
        <w:tc>
          <w:tcPr>
            <w:tcW w:w="2318"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无</w:t>
            </w:r>
          </w:p>
        </w:tc>
        <w:tc>
          <w:tcPr>
            <w:tcW w:w="1174"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0</w:t>
            </w:r>
          </w:p>
        </w:tc>
        <w:tc>
          <w:tcPr>
            <w:tcW w:w="1570"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无</w:t>
            </w:r>
          </w:p>
        </w:tc>
        <w:tc>
          <w:tcPr>
            <w:tcW w:w="1253"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0</w:t>
            </w:r>
          </w:p>
        </w:tc>
        <w:tc>
          <w:tcPr>
            <w:tcW w:w="1850"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无</w:t>
            </w:r>
          </w:p>
        </w:tc>
      </w:tr>
      <w:tr>
        <w:tblPrEx>
          <w:tblLayout w:type="fixed"/>
          <w:tblCellMar>
            <w:top w:w="0" w:type="dxa"/>
            <w:left w:w="10" w:type="dxa"/>
            <w:bottom w:w="0" w:type="dxa"/>
            <w:right w:w="10" w:type="dxa"/>
          </w:tblCellMar>
        </w:tblPrEx>
        <w:trPr>
          <w:trHeight w:val="1829" w:hRule="exact"/>
          <w:jc w:val="center"/>
        </w:trPr>
        <w:tc>
          <w:tcPr>
            <w:tcW w:w="1051" w:type="dxa"/>
            <w:vMerge w:val="restart"/>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建立健全</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监管制度</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机制情况</w:t>
            </w:r>
          </w:p>
        </w:tc>
        <w:tc>
          <w:tcPr>
            <w:tcW w:w="1044"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2019年建</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立监管制</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度、标准数</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量</w:t>
            </w:r>
          </w:p>
        </w:tc>
        <w:tc>
          <w:tcPr>
            <w:tcW w:w="1188"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新制度有效</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实施的数量</w:t>
            </w:r>
          </w:p>
        </w:tc>
        <w:tc>
          <w:tcPr>
            <w:tcW w:w="1224"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新监管制度</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涉及事项数</w:t>
            </w:r>
          </w:p>
        </w:tc>
        <w:tc>
          <w:tcPr>
            <w:tcW w:w="1555"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部门所有监管制</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度、标准数量</w:t>
            </w:r>
          </w:p>
        </w:tc>
        <w:tc>
          <w:tcPr>
            <w:tcW w:w="2318"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所有监管制度、标准总数</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及涉及的事项数</w:t>
            </w:r>
          </w:p>
        </w:tc>
        <w:tc>
          <w:tcPr>
            <w:tcW w:w="1174" w:type="dxa"/>
            <w:tcBorders>
              <w:top w:val="single" w:color="auto" w:sz="4" w:space="0"/>
              <w:left w:val="single" w:color="auto" w:sz="4" w:space="0"/>
            </w:tcBorders>
            <w:shd w:val="clear" w:color="auto" w:fill="FFFFFF"/>
            <w:vAlign w:val="bottom"/>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开展事中事</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后监管的重</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点内容（涉</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及事项、内</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容）</w:t>
            </w:r>
          </w:p>
        </w:tc>
        <w:tc>
          <w:tcPr>
            <w:tcW w:w="1570"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年度抽査计划情</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况</w:t>
            </w:r>
          </w:p>
        </w:tc>
        <w:tc>
          <w:tcPr>
            <w:tcW w:w="1253"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开展联合抽</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査的事项名</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称</w:t>
            </w:r>
          </w:p>
        </w:tc>
        <w:tc>
          <w:tcPr>
            <w:tcW w:w="1850"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开展联合抽査的事</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项数量</w:t>
            </w:r>
          </w:p>
        </w:tc>
      </w:tr>
      <w:tr>
        <w:tblPrEx>
          <w:tblLayout w:type="fixed"/>
          <w:tblCellMar>
            <w:top w:w="0" w:type="dxa"/>
            <w:left w:w="10" w:type="dxa"/>
            <w:bottom w:w="0" w:type="dxa"/>
            <w:right w:w="10" w:type="dxa"/>
          </w:tblCellMar>
        </w:tblPrEx>
        <w:trPr>
          <w:trHeight w:val="389" w:hRule="exact"/>
          <w:jc w:val="center"/>
        </w:trPr>
        <w:tc>
          <w:tcPr>
            <w:tcW w:w="1051" w:type="dxa"/>
            <w:vMerge w:val="continue"/>
            <w:tcBorders>
              <w:left w:val="single" w:color="auto" w:sz="4" w:space="0"/>
            </w:tcBorders>
            <w:shd w:val="clear" w:color="auto" w:fill="FFFFFF"/>
            <w:vAlign w:val="center"/>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rPr>
            </w:pPr>
          </w:p>
        </w:tc>
        <w:tc>
          <w:tcPr>
            <w:tcW w:w="1044" w:type="dxa"/>
            <w:tcBorders>
              <w:top w:val="single" w:color="auto" w:sz="4" w:space="0"/>
              <w:lef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188" w:type="dxa"/>
            <w:tcBorders>
              <w:top w:val="single" w:color="auto" w:sz="4" w:space="0"/>
              <w:lef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224" w:type="dxa"/>
            <w:tcBorders>
              <w:top w:val="single" w:color="auto" w:sz="4" w:space="0"/>
              <w:lef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555" w:type="dxa"/>
            <w:tcBorders>
              <w:top w:val="single" w:color="auto" w:sz="4" w:space="0"/>
              <w:lef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2318" w:type="dxa"/>
            <w:tcBorders>
              <w:top w:val="single" w:color="auto" w:sz="4" w:space="0"/>
              <w:lef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174" w:type="dxa"/>
            <w:tcBorders>
              <w:top w:val="single" w:color="auto" w:sz="4" w:space="0"/>
              <w:lef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570" w:type="dxa"/>
            <w:tcBorders>
              <w:top w:val="single" w:color="auto" w:sz="4" w:space="0"/>
              <w:lef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253" w:type="dxa"/>
            <w:tcBorders>
              <w:top w:val="single" w:color="auto" w:sz="4" w:space="0"/>
              <w:lef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850"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r>
      <w:tr>
        <w:tblPrEx>
          <w:tblLayout w:type="fixed"/>
          <w:tblCellMar>
            <w:top w:w="0" w:type="dxa"/>
            <w:left w:w="10" w:type="dxa"/>
            <w:bottom w:w="0" w:type="dxa"/>
            <w:right w:w="10" w:type="dxa"/>
          </w:tblCellMar>
        </w:tblPrEx>
        <w:trPr>
          <w:trHeight w:val="389" w:hRule="exact"/>
          <w:jc w:val="center"/>
        </w:trPr>
        <w:tc>
          <w:tcPr>
            <w:tcW w:w="1051" w:type="dxa"/>
            <w:vMerge w:val="continue"/>
            <w:tcBorders>
              <w:left w:val="single" w:color="auto" w:sz="4" w:space="0"/>
            </w:tcBorders>
            <w:shd w:val="clear" w:color="auto" w:fill="FFFFFF"/>
            <w:vAlign w:val="center"/>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rPr>
            </w:pPr>
          </w:p>
        </w:tc>
        <w:tc>
          <w:tcPr>
            <w:tcW w:w="1044" w:type="dxa"/>
            <w:tcBorders>
              <w:top w:val="single" w:color="auto" w:sz="4" w:space="0"/>
              <w:lef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188" w:type="dxa"/>
            <w:tcBorders>
              <w:top w:val="single" w:color="auto" w:sz="4" w:space="0"/>
              <w:lef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224" w:type="dxa"/>
            <w:tcBorders>
              <w:top w:val="single" w:color="auto" w:sz="4" w:space="0"/>
              <w:lef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555" w:type="dxa"/>
            <w:tcBorders>
              <w:top w:val="single" w:color="auto" w:sz="4" w:space="0"/>
              <w:lef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2318" w:type="dxa"/>
            <w:tcBorders>
              <w:top w:val="single" w:color="auto" w:sz="4" w:space="0"/>
              <w:lef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174" w:type="dxa"/>
            <w:tcBorders>
              <w:top w:val="single" w:color="auto" w:sz="4" w:space="0"/>
              <w:lef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570" w:type="dxa"/>
            <w:tcBorders>
              <w:top w:val="single" w:color="auto" w:sz="4" w:space="0"/>
              <w:lef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253" w:type="dxa"/>
            <w:tcBorders>
              <w:top w:val="single" w:color="auto" w:sz="4" w:space="0"/>
              <w:lef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850"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r>
      <w:tr>
        <w:tblPrEx>
          <w:tblLayout w:type="fixed"/>
          <w:tblCellMar>
            <w:top w:w="0" w:type="dxa"/>
            <w:left w:w="10" w:type="dxa"/>
            <w:bottom w:w="0" w:type="dxa"/>
            <w:right w:w="10" w:type="dxa"/>
          </w:tblCellMar>
        </w:tblPrEx>
        <w:trPr>
          <w:trHeight w:val="1490" w:hRule="exact"/>
          <w:jc w:val="center"/>
        </w:trPr>
        <w:tc>
          <w:tcPr>
            <w:tcW w:w="1051" w:type="dxa"/>
            <w:vMerge w:val="restart"/>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公共服务</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事项实施</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情况</w:t>
            </w:r>
          </w:p>
        </w:tc>
        <w:tc>
          <w:tcPr>
            <w:tcW w:w="1044"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公共服务</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事项数</w:t>
            </w:r>
          </w:p>
        </w:tc>
        <w:tc>
          <w:tcPr>
            <w:tcW w:w="1188"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申请量</w:t>
            </w:r>
          </w:p>
        </w:tc>
        <w:tc>
          <w:tcPr>
            <w:tcW w:w="1224"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办结量</w:t>
            </w:r>
          </w:p>
        </w:tc>
        <w:tc>
          <w:tcPr>
            <w:tcW w:w="1555"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是否梳理编制并</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公布本部门公共</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服务事项目录</w:t>
            </w:r>
          </w:p>
        </w:tc>
        <w:tc>
          <w:tcPr>
            <w:tcW w:w="2318"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制定公开办事</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指南事项数</w:t>
            </w:r>
          </w:p>
        </w:tc>
        <w:tc>
          <w:tcPr>
            <w:tcW w:w="1174" w:type="dxa"/>
            <w:tcBorders>
              <w:top w:val="single" w:color="auto" w:sz="4" w:space="0"/>
              <w:left w:val="single" w:color="auto" w:sz="4" w:space="0"/>
            </w:tcBorders>
            <w:shd w:val="clear" w:color="auto" w:fill="FFFFFF"/>
            <w:vAlign w:val="bottom"/>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驻省政务服</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务网、粤省</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事或粤商通</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的事项数</w:t>
            </w:r>
          </w:p>
        </w:tc>
        <w:tc>
          <w:tcPr>
            <w:tcW w:w="1570"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公共服务事项实</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现网上全流程办</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理的事项数</w:t>
            </w:r>
          </w:p>
        </w:tc>
        <w:tc>
          <w:tcPr>
            <w:tcW w:w="1253"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超时办结</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数量</w:t>
            </w:r>
          </w:p>
        </w:tc>
        <w:tc>
          <w:tcPr>
            <w:tcW w:w="1850"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到现场办理次数不</w:t>
            </w:r>
          </w:p>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超过1次的事项数</w:t>
            </w:r>
          </w:p>
        </w:tc>
      </w:tr>
      <w:tr>
        <w:tblPrEx>
          <w:tblLayout w:type="fixed"/>
          <w:tblCellMar>
            <w:top w:w="0" w:type="dxa"/>
            <w:left w:w="10" w:type="dxa"/>
            <w:bottom w:w="0" w:type="dxa"/>
            <w:right w:w="10" w:type="dxa"/>
          </w:tblCellMar>
        </w:tblPrEx>
        <w:trPr>
          <w:trHeight w:val="583" w:hRule="exact"/>
          <w:jc w:val="center"/>
        </w:trPr>
        <w:tc>
          <w:tcPr>
            <w:tcW w:w="1051" w:type="dxa"/>
            <w:vMerge w:val="continue"/>
            <w:tcBorders>
              <w:left w:val="single" w:color="auto" w:sz="4" w:space="0"/>
            </w:tcBorders>
            <w:shd w:val="clear" w:color="auto" w:fill="FFFFFF"/>
            <w:vAlign w:val="center"/>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rPr>
            </w:pPr>
          </w:p>
        </w:tc>
        <w:tc>
          <w:tcPr>
            <w:tcW w:w="1044"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无</w:t>
            </w:r>
          </w:p>
        </w:tc>
        <w:tc>
          <w:tcPr>
            <w:tcW w:w="1188"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无</w:t>
            </w:r>
          </w:p>
        </w:tc>
        <w:tc>
          <w:tcPr>
            <w:tcW w:w="1224"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无</w:t>
            </w:r>
          </w:p>
        </w:tc>
        <w:tc>
          <w:tcPr>
            <w:tcW w:w="1555"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无</w:t>
            </w:r>
          </w:p>
        </w:tc>
        <w:tc>
          <w:tcPr>
            <w:tcW w:w="2318"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无</w:t>
            </w:r>
          </w:p>
        </w:tc>
        <w:tc>
          <w:tcPr>
            <w:tcW w:w="1174"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无</w:t>
            </w:r>
          </w:p>
        </w:tc>
        <w:tc>
          <w:tcPr>
            <w:tcW w:w="1570"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无</w:t>
            </w:r>
          </w:p>
        </w:tc>
        <w:tc>
          <w:tcPr>
            <w:tcW w:w="1253" w:type="dxa"/>
            <w:tcBorders>
              <w:top w:val="single" w:color="auto" w:sz="4" w:space="0"/>
              <w:lef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无</w:t>
            </w:r>
          </w:p>
        </w:tc>
        <w:tc>
          <w:tcPr>
            <w:tcW w:w="1850"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framePr w:w="14227"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无</w:t>
            </w:r>
          </w:p>
        </w:tc>
      </w:tr>
      <w:tr>
        <w:tblPrEx>
          <w:tblLayout w:type="fixed"/>
          <w:tblCellMar>
            <w:top w:w="0" w:type="dxa"/>
            <w:left w:w="10" w:type="dxa"/>
            <w:bottom w:w="0" w:type="dxa"/>
            <w:right w:w="10" w:type="dxa"/>
          </w:tblCellMar>
        </w:tblPrEx>
        <w:trPr>
          <w:trHeight w:val="619" w:hRule="exact"/>
          <w:jc w:val="center"/>
        </w:trPr>
        <w:tc>
          <w:tcPr>
            <w:tcW w:w="1051" w:type="dxa"/>
            <w:vMerge w:val="continue"/>
            <w:tcBorders>
              <w:left w:val="single" w:color="auto" w:sz="4" w:space="0"/>
              <w:bottom w:val="single" w:color="auto" w:sz="4" w:space="0"/>
            </w:tcBorders>
            <w:shd w:val="clear" w:color="auto" w:fill="FFFFFF"/>
            <w:vAlign w:val="center"/>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rPr>
            </w:pPr>
          </w:p>
        </w:tc>
        <w:tc>
          <w:tcPr>
            <w:tcW w:w="1044"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188"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224"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555"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2318"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174"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570"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253"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850"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r>
    </w:tbl>
    <w:p>
      <w:pPr>
        <w:keepNext w:val="0"/>
        <w:keepLines w:val="0"/>
        <w:pageBreakBefore w:val="0"/>
        <w:framePr w:w="14227"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2"/>
          <w:szCs w:val="2"/>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2"/>
          <w:szCs w:val="2"/>
        </w:rPr>
      </w:pPr>
    </w:p>
    <w:tbl>
      <w:tblPr>
        <w:tblStyle w:val="5"/>
        <w:tblW w:w="14213" w:type="dxa"/>
        <w:jc w:val="center"/>
        <w:tblInd w:w="0" w:type="dxa"/>
        <w:tblLayout w:type="fixed"/>
        <w:tblCellMar>
          <w:top w:w="0" w:type="dxa"/>
          <w:left w:w="10" w:type="dxa"/>
          <w:bottom w:w="0" w:type="dxa"/>
          <w:right w:w="10" w:type="dxa"/>
        </w:tblCellMar>
      </w:tblPr>
      <w:tblGrid>
        <w:gridCol w:w="1058"/>
        <w:gridCol w:w="1037"/>
        <w:gridCol w:w="1166"/>
        <w:gridCol w:w="1217"/>
        <w:gridCol w:w="1303"/>
        <w:gridCol w:w="1296"/>
        <w:gridCol w:w="1296"/>
        <w:gridCol w:w="1174"/>
        <w:gridCol w:w="1570"/>
        <w:gridCol w:w="1253"/>
        <w:gridCol w:w="1843"/>
      </w:tblGrid>
      <w:tr>
        <w:tblPrEx>
          <w:tblLayout w:type="fixed"/>
          <w:tblCellMar>
            <w:top w:w="0" w:type="dxa"/>
            <w:left w:w="10" w:type="dxa"/>
            <w:bottom w:w="0" w:type="dxa"/>
            <w:right w:w="10" w:type="dxa"/>
          </w:tblCellMar>
        </w:tblPrEx>
        <w:trPr>
          <w:trHeight w:val="3802" w:hRule="exact"/>
          <w:jc w:val="center"/>
        </w:trPr>
        <w:tc>
          <w:tcPr>
            <w:tcW w:w="1058" w:type="dxa"/>
            <w:vMerge w:val="restart"/>
            <w:tcBorders>
              <w:top w:val="single" w:color="auto" w:sz="4" w:space="0"/>
              <w:left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创新和</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优化服务</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情况</w:t>
            </w:r>
          </w:p>
        </w:tc>
        <w:tc>
          <w:tcPr>
            <w:tcW w:w="1037" w:type="dxa"/>
            <w:tcBorders>
              <w:top w:val="single" w:color="auto" w:sz="4" w:space="0"/>
              <w:left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取消各类</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证明和繁</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琐手续</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数量</w:t>
            </w:r>
          </w:p>
        </w:tc>
        <w:tc>
          <w:tcPr>
            <w:tcW w:w="1166" w:type="dxa"/>
            <w:tcBorders>
              <w:top w:val="single" w:color="auto" w:sz="4" w:space="0"/>
              <w:left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建立内部工</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作制度数量</w:t>
            </w:r>
          </w:p>
        </w:tc>
        <w:tc>
          <w:tcPr>
            <w:tcW w:w="1217" w:type="dxa"/>
            <w:tcBorders>
              <w:top w:val="single" w:color="auto" w:sz="4" w:space="0"/>
              <w:left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推广容缺后</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补、绿色通</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道、首席服务</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官和数字化</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审图、告知承</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诺、邮政或快</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递送达等便</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利化措施的</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数量</w:t>
            </w:r>
          </w:p>
        </w:tc>
        <w:tc>
          <w:tcPr>
            <w:tcW w:w="1303" w:type="dxa"/>
            <w:tcBorders>
              <w:top w:val="single" w:color="auto" w:sz="4" w:space="0"/>
              <w:left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推行预约办</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理、同城通办、</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异地代办、一</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对一专办等制</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度的数量</w:t>
            </w:r>
          </w:p>
        </w:tc>
        <w:tc>
          <w:tcPr>
            <w:tcW w:w="1296" w:type="dxa"/>
            <w:tcBorders>
              <w:top w:val="single" w:color="auto" w:sz="4" w:space="0"/>
              <w:left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整合压减办事</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环节涉及的事</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项数</w:t>
            </w:r>
          </w:p>
        </w:tc>
        <w:tc>
          <w:tcPr>
            <w:tcW w:w="1296" w:type="dxa"/>
            <w:tcBorders>
              <w:top w:val="single" w:color="auto" w:sz="4" w:space="0"/>
              <w:left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整合压减的办</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事环节数</w:t>
            </w:r>
          </w:p>
        </w:tc>
        <w:tc>
          <w:tcPr>
            <w:tcW w:w="1174" w:type="dxa"/>
            <w:tcBorders>
              <w:top w:val="single" w:color="auto" w:sz="4" w:space="0"/>
              <w:left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跨层级事项</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扁平化办理</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的事项数</w:t>
            </w:r>
          </w:p>
        </w:tc>
        <w:tc>
          <w:tcPr>
            <w:tcW w:w="1570" w:type="dxa"/>
            <w:tcBorders>
              <w:top w:val="single" w:color="auto" w:sz="4" w:space="0"/>
              <w:left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跨部门事项由</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一个部门牵头</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实现并联办理</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的事项数</w:t>
            </w:r>
          </w:p>
        </w:tc>
        <w:tc>
          <w:tcPr>
            <w:tcW w:w="1253" w:type="dxa"/>
            <w:tcBorders>
              <w:top w:val="single" w:color="auto" w:sz="4" w:space="0"/>
              <w:left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压减办事材</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料涉及的事</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项数</w:t>
            </w:r>
          </w:p>
        </w:tc>
        <w:tc>
          <w:tcPr>
            <w:tcW w:w="1843" w:type="dxa"/>
            <w:tcBorders>
              <w:top w:val="single" w:color="auto" w:sz="4" w:space="0"/>
              <w:left w:val="single" w:color="auto" w:sz="4" w:space="0"/>
              <w:right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压减的办事</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材料件数</w:t>
            </w:r>
          </w:p>
        </w:tc>
      </w:tr>
      <w:tr>
        <w:tblPrEx>
          <w:tblLayout w:type="fixed"/>
          <w:tblCellMar>
            <w:top w:w="0" w:type="dxa"/>
            <w:left w:w="10" w:type="dxa"/>
            <w:bottom w:w="0" w:type="dxa"/>
            <w:right w:w="10" w:type="dxa"/>
          </w:tblCellMar>
        </w:tblPrEx>
        <w:trPr>
          <w:trHeight w:val="3067" w:hRule="exact"/>
          <w:jc w:val="center"/>
        </w:trPr>
        <w:tc>
          <w:tcPr>
            <w:tcW w:w="1058" w:type="dxa"/>
            <w:vMerge w:val="continue"/>
            <w:tcBorders>
              <w:left w:val="single" w:color="auto" w:sz="4" w:space="0"/>
              <w:bottom w:val="single" w:color="auto" w:sz="4" w:space="0"/>
            </w:tcBorders>
            <w:shd w:val="clear" w:color="auto" w:fill="FFFFFF"/>
            <w:vAlign w:val="center"/>
          </w:tcPr>
          <w:p>
            <w:pPr>
              <w:keepNext w:val="0"/>
              <w:keepLines w:val="0"/>
              <w:pageBreakBefore w:val="0"/>
              <w:framePr w:w="14213"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rPr>
            </w:pPr>
          </w:p>
        </w:tc>
        <w:tc>
          <w:tcPr>
            <w:tcW w:w="1037"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我局按照</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国家文件</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要求提供</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办事材料，</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探索使用</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电子证照</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减少提供</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材料</w:t>
            </w:r>
          </w:p>
        </w:tc>
        <w:tc>
          <w:tcPr>
            <w:tcW w:w="1166" w:type="dxa"/>
            <w:tcBorders>
              <w:top w:val="single" w:color="auto" w:sz="4" w:space="0"/>
              <w:left w:val="single" w:color="auto" w:sz="4" w:space="0"/>
              <w:bottom w:val="single" w:color="auto" w:sz="4" w:space="0"/>
            </w:tcBorders>
            <w:shd w:val="clear" w:color="auto" w:fill="FFFFFF"/>
            <w:vAlign w:val="top"/>
          </w:tcPr>
          <w:p>
            <w:pPr>
              <w:keepNext w:val="0"/>
              <w:keepLines w:val="0"/>
              <w:pageBreakBefore w:val="0"/>
              <w:framePr w:w="14213" w:wrap="notBeside" w:vAnchor="text" w:hAnchor="text" w:xAlign="center" w:y="1"/>
              <w:widowControl w:val="0"/>
              <w:kinsoku/>
              <w:wordWrap/>
              <w:overflowPunct/>
              <w:topLinePunct w:val="0"/>
              <w:autoSpaceDE/>
              <w:autoSpaceDN/>
              <w:bidi w:val="0"/>
              <w:adjustRightInd/>
              <w:snapToGrid/>
              <w:spacing w:before="0" w:after="0" w:line="240" w:lineRule="auto"/>
              <w:ind w:left="0"/>
              <w:textAlignment w:val="auto"/>
              <w:outlineLvl w:val="9"/>
              <w:rPr>
                <w:rFonts w:hint="eastAsia" w:ascii="仿宋_GB2312" w:hAnsi="仿宋_GB2312" w:eastAsia="仿宋_GB2312" w:cs="仿宋_GB2312"/>
                <w:sz w:val="10"/>
                <w:szCs w:val="10"/>
              </w:rPr>
            </w:pPr>
          </w:p>
        </w:tc>
        <w:tc>
          <w:tcPr>
            <w:tcW w:w="1217"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我局推行网</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上</w:t>
            </w:r>
            <w:r>
              <w:rPr>
                <w:rStyle w:val="26"/>
                <w:rFonts w:hint="eastAsia" w:ascii="仿宋_GB2312" w:hAnsi="仿宋_GB2312" w:eastAsia="仿宋_GB2312" w:cs="仿宋_GB2312"/>
                <w:b w:val="0"/>
                <w:bCs w:val="0"/>
                <w:i w:val="0"/>
                <w:iCs w:val="0"/>
                <w:smallCaps w:val="0"/>
                <w:strike w:val="0"/>
                <w:lang w:val="en-US" w:eastAsia="en-US" w:bidi="en-US"/>
              </w:rPr>
              <w:t>7</w:t>
            </w:r>
            <w:r>
              <w:rPr>
                <w:rStyle w:val="26"/>
                <w:rFonts w:hint="eastAsia" w:ascii="仿宋_GB2312" w:hAnsi="仿宋_GB2312" w:eastAsia="仿宋_GB2312" w:cs="仿宋_GB2312"/>
                <w:b w:val="0"/>
                <w:bCs w:val="0"/>
                <w:i w:val="0"/>
                <w:iCs w:val="0"/>
                <w:smallCaps w:val="0"/>
                <w:strike w:val="0"/>
              </w:rPr>
              <w:t>x</w:t>
            </w:r>
            <w:r>
              <w:rPr>
                <w:rStyle w:val="26"/>
                <w:rFonts w:hint="eastAsia" w:ascii="仿宋_GB2312" w:hAnsi="仿宋_GB2312" w:eastAsia="仿宋_GB2312" w:cs="仿宋_GB2312"/>
                <w:b w:val="0"/>
                <w:bCs w:val="0"/>
                <w:i w:val="0"/>
                <w:iCs w:val="0"/>
                <w:smallCaps w:val="0"/>
                <w:strike w:val="0"/>
                <w:lang w:val="en-US" w:eastAsia="en-US" w:bidi="en-US"/>
              </w:rPr>
              <w:t>24</w:t>
            </w:r>
            <w:r>
              <w:rPr>
                <w:rStyle w:val="26"/>
                <w:rFonts w:hint="eastAsia" w:ascii="仿宋_GB2312" w:hAnsi="仿宋_GB2312" w:eastAsia="仿宋_GB2312" w:cs="仿宋_GB2312"/>
                <w:b w:val="0"/>
                <w:bCs w:val="0"/>
                <w:i w:val="0"/>
                <w:iCs w:val="0"/>
                <w:smallCaps w:val="0"/>
                <w:strike w:val="0"/>
              </w:rPr>
              <w:t>全天</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在线申请，推</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广邮政或快</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递送达等便</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利化等措施</w:t>
            </w:r>
          </w:p>
        </w:tc>
        <w:tc>
          <w:tcPr>
            <w:tcW w:w="1303"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无</w:t>
            </w:r>
          </w:p>
        </w:tc>
        <w:tc>
          <w:tcPr>
            <w:tcW w:w="1296"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2</w:t>
            </w:r>
          </w:p>
        </w:tc>
        <w:tc>
          <w:tcPr>
            <w:tcW w:w="1296"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1</w:t>
            </w:r>
          </w:p>
        </w:tc>
        <w:tc>
          <w:tcPr>
            <w:tcW w:w="1174"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2</w:t>
            </w:r>
          </w:p>
        </w:tc>
        <w:tc>
          <w:tcPr>
            <w:tcW w:w="1570"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2</w:t>
            </w:r>
          </w:p>
        </w:tc>
        <w:tc>
          <w:tcPr>
            <w:tcW w:w="1253" w:type="dxa"/>
            <w:tcBorders>
              <w:top w:val="single" w:color="auto" w:sz="4" w:space="0"/>
              <w:left w:val="single" w:color="auto" w:sz="4" w:space="0"/>
              <w:bottom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2</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我局按照国家文件</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要求，提供办事材</w:t>
            </w:r>
          </w:p>
          <w:p>
            <w:pPr>
              <w:pStyle w:val="7"/>
              <w:keepNext w:val="0"/>
              <w:keepLines w:val="0"/>
              <w:pageBreakBefore w:val="0"/>
              <w:framePr w:w="14213" w:wrap="notBeside" w:vAnchor="text" w:hAnchor="text" w:xAlign="center" w:y="1"/>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rFonts w:hint="eastAsia" w:ascii="仿宋_GB2312" w:hAnsi="仿宋_GB2312" w:eastAsia="仿宋_GB2312" w:cs="仿宋_GB2312"/>
              </w:rPr>
            </w:pPr>
            <w:r>
              <w:rPr>
                <w:rStyle w:val="26"/>
                <w:rFonts w:hint="eastAsia" w:ascii="仿宋_GB2312" w:hAnsi="仿宋_GB2312" w:eastAsia="仿宋_GB2312" w:cs="仿宋_GB2312"/>
                <w:b w:val="0"/>
                <w:bCs w:val="0"/>
                <w:i w:val="0"/>
                <w:iCs w:val="0"/>
                <w:smallCaps w:val="0"/>
                <w:strike w:val="0"/>
              </w:rPr>
              <w:t>料。</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decimal"/>
      <w:lvlText w:val="(%1)"/>
      <w:lvlJc w:val="left"/>
      <w:rPr>
        <w:rFonts w:ascii="PMingLiU" w:hAnsi="PMingLiU" w:eastAsia="PMingLiU" w:cs="PMingLiU"/>
        <w:b w:val="0"/>
        <w:bCs w:val="0"/>
        <w:i w:val="0"/>
        <w:iCs w:val="0"/>
        <w:smallCaps w:val="0"/>
        <w:strike w:val="0"/>
        <w:color w:val="000000"/>
        <w:spacing w:val="50"/>
        <w:w w:val="100"/>
        <w:position w:val="0"/>
        <w:sz w:val="28"/>
        <w:szCs w:val="28"/>
        <w:u w:val="none"/>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6768C"/>
    <w:rsid w:val="013251ED"/>
    <w:rsid w:val="0C3523D0"/>
    <w:rsid w:val="19D17C20"/>
    <w:rsid w:val="21DD516F"/>
    <w:rsid w:val="3CCC6AF0"/>
    <w:rsid w:val="404B5795"/>
    <w:rsid w:val="46FC3504"/>
    <w:rsid w:val="4E96768C"/>
    <w:rsid w:val="598002BB"/>
    <w:rsid w:val="626413B3"/>
    <w:rsid w:val="70167343"/>
    <w:rsid w:val="71341FC2"/>
    <w:rsid w:val="74E327F1"/>
    <w:rsid w:val="75841D94"/>
    <w:rsid w:val="7A531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paragraph" w:styleId="2">
    <w:name w:val="heading 1"/>
    <w:basedOn w:val="1"/>
    <w:next w:val="1"/>
    <w:qFormat/>
    <w:uiPriority w:val="0"/>
    <w:pPr>
      <w:keepNext/>
      <w:keepLines/>
      <w:spacing w:beforeLines="0" w:beforeAutospacing="0" w:afterLines="0" w:afterAutospacing="0" w:line="640" w:lineRule="exact"/>
      <w:jc w:val="center"/>
      <w:outlineLvl w:val="0"/>
    </w:pPr>
    <w:rPr>
      <w:rFonts w:ascii="Calibri" w:hAnsi="Calibri" w:eastAsia="方正小标宋简体" w:cs="Times New Roman"/>
      <w:b/>
      <w:kern w:val="44"/>
      <w:sz w:val="44"/>
      <w:szCs w:val="32"/>
    </w:rPr>
  </w:style>
  <w:style w:type="paragraph" w:styleId="3">
    <w:name w:val="heading 2"/>
    <w:basedOn w:val="1"/>
    <w:next w:val="1"/>
    <w:link w:val="6"/>
    <w:semiHidden/>
    <w:unhideWhenUsed/>
    <w:qFormat/>
    <w:uiPriority w:val="0"/>
    <w:pPr>
      <w:keepNext/>
      <w:keepLines/>
      <w:spacing w:line="640" w:lineRule="exact"/>
      <w:jc w:val="center"/>
      <w:outlineLvl w:val="1"/>
    </w:pPr>
    <w:rPr>
      <w:rFonts w:ascii="方正小标宋简体" w:hAnsi="方正小标宋简体" w:eastAsia="方正小标宋简体" w:cstheme="majorBidi"/>
      <w:bCs/>
      <w:sz w:val="44"/>
      <w:szCs w:val="32"/>
    </w:rPr>
  </w:style>
  <w:style w:type="character" w:default="1" w:styleId="4">
    <w:name w:val="Default Paragraph Font"/>
    <w:semiHidden/>
    <w:unhideWhenUsed/>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customStyle="1" w:styleId="6">
    <w:name w:val="标题 2 字符"/>
    <w:basedOn w:val="4"/>
    <w:link w:val="3"/>
    <w:qFormat/>
    <w:uiPriority w:val="0"/>
    <w:rPr>
      <w:rFonts w:ascii="方正小标宋简体" w:hAnsi="方正小标宋简体" w:eastAsia="方正小标宋简体" w:cstheme="majorBidi"/>
      <w:bCs/>
      <w:kern w:val="2"/>
      <w:sz w:val="44"/>
      <w:szCs w:val="32"/>
    </w:rPr>
  </w:style>
  <w:style w:type="paragraph" w:customStyle="1" w:styleId="7">
    <w:name w:val="MSG_EN_FONT_STYLE_NAME_TEMPLATE_ROLE_NUMBER MSG_EN_FONT_STYLE_NAME_BY_ROLE_TEXT 2"/>
    <w:basedOn w:val="1"/>
    <w:link w:val="12"/>
    <w:qFormat/>
    <w:uiPriority w:val="0"/>
    <w:pPr>
      <w:widowControl w:val="0"/>
      <w:shd w:val="clear" w:color="auto" w:fill="FFFFFF"/>
      <w:spacing w:before="540" w:after="220" w:line="300" w:lineRule="exact"/>
      <w:ind w:hanging="1840"/>
    </w:pPr>
    <w:rPr>
      <w:rFonts w:ascii="PMingLiU" w:hAnsi="PMingLiU" w:eastAsia="PMingLiU" w:cs="PMingLiU"/>
      <w:spacing w:val="30"/>
      <w:sz w:val="30"/>
      <w:szCs w:val="30"/>
      <w:u w:val="none"/>
    </w:rPr>
  </w:style>
  <w:style w:type="paragraph" w:customStyle="1" w:styleId="8">
    <w:name w:val="MSG_EN_FONT_STYLE_NAME_TEMPLATE_ROLE_NUMBER MSG_EN_FONT_STYLE_NAME_BY_ROLE_TEXT 5"/>
    <w:basedOn w:val="1"/>
    <w:qFormat/>
    <w:uiPriority w:val="0"/>
    <w:pPr>
      <w:widowControl w:val="0"/>
      <w:shd w:val="clear" w:color="auto" w:fill="FFFFFF"/>
      <w:spacing w:before="320" w:after="220" w:line="320" w:lineRule="exact"/>
      <w:ind w:firstLine="680"/>
    </w:pPr>
    <w:rPr>
      <w:rFonts w:ascii="PMingLiU" w:hAnsi="PMingLiU" w:eastAsia="PMingLiU" w:cs="PMingLiU"/>
      <w:b/>
      <w:bCs/>
      <w:sz w:val="32"/>
      <w:szCs w:val="32"/>
      <w:u w:val="none"/>
    </w:rPr>
  </w:style>
  <w:style w:type="paragraph" w:customStyle="1" w:styleId="9">
    <w:name w:val="MSG_EN_FONT_STYLE_NAME_TEMPLATE_ROLE_NUMBER MSG_EN_FONT_STYLE_NAME_BY_ROLE_TEXT 6"/>
    <w:basedOn w:val="1"/>
    <w:qFormat/>
    <w:uiPriority w:val="0"/>
    <w:pPr>
      <w:widowControl w:val="0"/>
      <w:shd w:val="clear" w:color="auto" w:fill="FFFFFF"/>
      <w:spacing w:before="220" w:line="547" w:lineRule="exact"/>
      <w:ind w:firstLine="700"/>
    </w:pPr>
    <w:rPr>
      <w:rFonts w:ascii="PMingLiU" w:hAnsi="PMingLiU" w:eastAsia="PMingLiU" w:cs="PMingLiU"/>
      <w:sz w:val="32"/>
      <w:szCs w:val="32"/>
      <w:u w:val="none"/>
    </w:rPr>
  </w:style>
  <w:style w:type="paragraph" w:customStyle="1" w:styleId="10">
    <w:name w:val="MSG_EN_FONT_STYLE_NAME_TEMPLATE_ROLE_LEVEL_NUMBER MSG_EN_FONT_STYLE_NAME_BY_ROLE_HEADING 3 2"/>
    <w:basedOn w:val="1"/>
    <w:qFormat/>
    <w:uiPriority w:val="0"/>
    <w:pPr>
      <w:widowControl w:val="0"/>
      <w:shd w:val="clear" w:color="auto" w:fill="FFFFFF"/>
      <w:spacing w:line="547" w:lineRule="exact"/>
      <w:ind w:firstLine="700"/>
      <w:outlineLvl w:val="2"/>
    </w:pPr>
    <w:rPr>
      <w:rFonts w:ascii="PMingLiU" w:hAnsi="PMingLiU" w:eastAsia="PMingLiU" w:cs="PMingLiU"/>
      <w:sz w:val="32"/>
      <w:szCs w:val="32"/>
      <w:u w:val="none"/>
    </w:rPr>
  </w:style>
  <w:style w:type="character" w:customStyle="1" w:styleId="11">
    <w:name w:val="MSG_EN_FONT_STYLE_NAME_TEMPLATE_ROLE_NUMBER MSG_EN_FONT_STYLE_NAME_BY_ROLE_TEXT 2 + MSG_EN_FONT_STYLE_MODIFER_NAME Arial"/>
    <w:basedOn w:val="12"/>
    <w:qFormat/>
    <w:uiPriority w:val="0"/>
    <w:rPr>
      <w:rFonts w:ascii="Arial" w:hAnsi="Arial" w:eastAsia="Arial" w:cs="Arial"/>
      <w:b/>
      <w:bCs/>
      <w:color w:val="000000"/>
      <w:spacing w:val="0"/>
      <w:w w:val="100"/>
      <w:position w:val="0"/>
      <w:lang w:val="en-US" w:eastAsia="en-US" w:bidi="en-US"/>
    </w:rPr>
  </w:style>
  <w:style w:type="character" w:customStyle="1" w:styleId="12">
    <w:name w:val="MSG_EN_FONT_STYLE_NAME_TEMPLATE_ROLE_NUMBER MSG_EN_FONT_STYLE_NAME_BY_ROLE_TEXT 2_"/>
    <w:basedOn w:val="4"/>
    <w:link w:val="7"/>
    <w:qFormat/>
    <w:uiPriority w:val="0"/>
    <w:rPr>
      <w:rFonts w:ascii="PMingLiU" w:hAnsi="PMingLiU" w:eastAsia="PMingLiU" w:cs="PMingLiU"/>
      <w:spacing w:val="30"/>
      <w:sz w:val="30"/>
      <w:szCs w:val="30"/>
      <w:u w:val="none"/>
    </w:rPr>
  </w:style>
  <w:style w:type="character" w:customStyle="1" w:styleId="13">
    <w:name w:val="MSG_EN_FONT_STYLE_NAME_TEMPLATE_ROLE_NUMBER MSG_EN_FONT_STYLE_NAME_BY_ROLE_TEXT 2 + MSG_EN_FONT_STYLE_MODIFER_NAME Courier New"/>
    <w:basedOn w:val="12"/>
    <w:qFormat/>
    <w:uiPriority w:val="0"/>
    <w:rPr>
      <w:rFonts w:ascii="Courier New" w:hAnsi="Courier New" w:eastAsia="Courier New" w:cs="Courier New"/>
      <w:color w:val="000000"/>
      <w:spacing w:val="0"/>
      <w:w w:val="100"/>
      <w:position w:val="0"/>
      <w:sz w:val="74"/>
      <w:szCs w:val="74"/>
      <w:lang w:val="zh-CN" w:eastAsia="zh-CN" w:bidi="zh-CN"/>
    </w:rPr>
  </w:style>
  <w:style w:type="character" w:customStyle="1" w:styleId="14">
    <w:name w:val="MSG_EN_FONT_STYLE_NAME_TEMPLATE_ROLE_NUMBER MSG_EN_FONT_STYLE_NAME_BY_ROLE_TEXT 2 + MSG_EN_FONT_STYLE_MODIFER_SIZE 14"/>
    <w:basedOn w:val="12"/>
    <w:qFormat/>
    <w:uiPriority w:val="0"/>
    <w:rPr>
      <w:color w:val="000000"/>
      <w:spacing w:val="50"/>
      <w:w w:val="100"/>
      <w:position w:val="0"/>
      <w:sz w:val="28"/>
      <w:szCs w:val="28"/>
      <w:lang w:val="en-US" w:eastAsia="en-US" w:bidi="en-US"/>
    </w:rPr>
  </w:style>
  <w:style w:type="paragraph" w:customStyle="1" w:styleId="15">
    <w:name w:val="MSG_EN_FONT_STYLE_NAME_TEMPLATE_ROLE_NUMBER MSG_EN_FONT_STYLE_NAME_BY_ROLE_TEXT 7"/>
    <w:basedOn w:val="1"/>
    <w:qFormat/>
    <w:uiPriority w:val="0"/>
    <w:pPr>
      <w:widowControl w:val="0"/>
      <w:shd w:val="clear" w:color="auto" w:fill="FFFFFF"/>
      <w:spacing w:line="533" w:lineRule="exact"/>
      <w:ind w:firstLine="680"/>
      <w:jc w:val="distribute"/>
    </w:pPr>
    <w:rPr>
      <w:rFonts w:ascii="PMingLiU" w:hAnsi="PMingLiU" w:eastAsia="PMingLiU" w:cs="PMingLiU"/>
      <w:sz w:val="28"/>
      <w:szCs w:val="28"/>
      <w:u w:val="none"/>
    </w:rPr>
  </w:style>
  <w:style w:type="paragraph" w:customStyle="1" w:styleId="16">
    <w:name w:val="MSG_EN_FONT_STYLE_NAME_TEMPLATE_ROLE_NUMBER MSG_EN_FONT_STYLE_NAME_BY_ROLE_TEXT 8"/>
    <w:basedOn w:val="1"/>
    <w:qFormat/>
    <w:uiPriority w:val="0"/>
    <w:pPr>
      <w:widowControl w:val="0"/>
      <w:shd w:val="clear" w:color="auto" w:fill="FFFFFF"/>
      <w:spacing w:line="533" w:lineRule="exact"/>
      <w:jc w:val="distribute"/>
    </w:pPr>
    <w:rPr>
      <w:rFonts w:ascii="PMingLiU" w:hAnsi="PMingLiU" w:eastAsia="PMingLiU" w:cs="PMingLiU"/>
      <w:b/>
      <w:bCs/>
      <w:sz w:val="30"/>
      <w:szCs w:val="30"/>
      <w:u w:val="none"/>
    </w:rPr>
  </w:style>
  <w:style w:type="paragraph" w:customStyle="1" w:styleId="17">
    <w:name w:val="MSG_EN_FONT_STYLE_NAME_TEMPLATE_ROLE_LEVEL MSG_EN_FONT_STYLE_NAME_BY_ROLE_HEADING 3"/>
    <w:basedOn w:val="1"/>
    <w:qFormat/>
    <w:uiPriority w:val="0"/>
    <w:pPr>
      <w:widowControl w:val="0"/>
      <w:shd w:val="clear" w:color="auto" w:fill="FFFFFF"/>
      <w:spacing w:line="533" w:lineRule="exact"/>
      <w:jc w:val="distribute"/>
      <w:outlineLvl w:val="2"/>
    </w:pPr>
    <w:rPr>
      <w:rFonts w:ascii="PMingLiU" w:hAnsi="PMingLiU" w:eastAsia="PMingLiU" w:cs="PMingLiU"/>
      <w:b/>
      <w:bCs/>
      <w:sz w:val="30"/>
      <w:szCs w:val="30"/>
      <w:u w:val="none"/>
    </w:rPr>
  </w:style>
  <w:style w:type="paragraph" w:customStyle="1" w:styleId="18">
    <w:name w:val="MSG_EN_FONT_STYLE_NAME_TEMPLATE_ROLE_NUMBER MSG_EN_FONT_STYLE_NAME_BY_ROLE_TEXT 9"/>
    <w:basedOn w:val="1"/>
    <w:qFormat/>
    <w:uiPriority w:val="0"/>
    <w:pPr>
      <w:widowControl w:val="0"/>
      <w:shd w:val="clear" w:color="auto" w:fill="FFFFFF"/>
      <w:spacing w:after="220" w:line="320" w:lineRule="exact"/>
    </w:pPr>
    <w:rPr>
      <w:rFonts w:ascii="PMingLiU" w:hAnsi="PMingLiU" w:eastAsia="PMingLiU" w:cs="PMingLiU"/>
      <w:sz w:val="32"/>
      <w:szCs w:val="32"/>
      <w:u w:val="none"/>
    </w:rPr>
  </w:style>
  <w:style w:type="paragraph" w:customStyle="1" w:styleId="19">
    <w:name w:val="MSG_EN_FONT_STYLE_NAME_TEMPLATE_ROLE_NUMBER MSG_EN_FONT_STYLE_NAME_BY_ROLE_TEXT 10"/>
    <w:basedOn w:val="1"/>
    <w:link w:val="21"/>
    <w:qFormat/>
    <w:uiPriority w:val="0"/>
    <w:pPr>
      <w:widowControl w:val="0"/>
      <w:shd w:val="clear" w:color="auto" w:fill="FFFFFF"/>
      <w:spacing w:line="533" w:lineRule="exact"/>
      <w:ind w:firstLine="680"/>
      <w:jc w:val="distribute"/>
    </w:pPr>
    <w:rPr>
      <w:rFonts w:ascii="PMingLiU" w:hAnsi="PMingLiU" w:eastAsia="PMingLiU" w:cs="PMingLiU"/>
      <w:spacing w:val="30"/>
      <w:sz w:val="30"/>
      <w:szCs w:val="30"/>
      <w:u w:val="none"/>
    </w:rPr>
  </w:style>
  <w:style w:type="character" w:customStyle="1" w:styleId="20">
    <w:name w:val="MSG_EN_FONT_STYLE_NAME_TEMPLATE_ROLE_NUMBER MSG_EN_FONT_STYLE_NAME_BY_ROLE_TEXT 10 + MSG_EN_FONT_STYLE_MODIFER_NAME Arial"/>
    <w:basedOn w:val="21"/>
    <w:qFormat/>
    <w:uiPriority w:val="0"/>
    <w:rPr>
      <w:rFonts w:ascii="Arial" w:hAnsi="Arial" w:eastAsia="Arial" w:cs="Arial"/>
      <w:color w:val="000000"/>
      <w:spacing w:val="0"/>
      <w:w w:val="75"/>
      <w:position w:val="0"/>
      <w:sz w:val="28"/>
      <w:szCs w:val="28"/>
      <w:lang w:val="en-US" w:eastAsia="en-US" w:bidi="en-US"/>
    </w:rPr>
  </w:style>
  <w:style w:type="character" w:customStyle="1" w:styleId="21">
    <w:name w:val="MSG_EN_FONT_STYLE_NAME_TEMPLATE_ROLE_NUMBER MSG_EN_FONT_STYLE_NAME_BY_ROLE_TEXT 10_"/>
    <w:basedOn w:val="4"/>
    <w:link w:val="19"/>
    <w:qFormat/>
    <w:uiPriority w:val="0"/>
    <w:rPr>
      <w:rFonts w:ascii="PMingLiU" w:hAnsi="PMingLiU" w:eastAsia="PMingLiU" w:cs="PMingLiU"/>
      <w:spacing w:val="30"/>
      <w:sz w:val="30"/>
      <w:szCs w:val="30"/>
      <w:u w:val="none"/>
    </w:rPr>
  </w:style>
  <w:style w:type="character" w:customStyle="1" w:styleId="22">
    <w:name w:val="MSG_EN_FONT_STYLE_NAME_TEMPLATE_ROLE_NUMBER MSG_EN_FONT_STYLE_NAME_BY_ROLE_TEXT 10 + MSG_EN_FONT_STYLE_MODIFER_BOLD"/>
    <w:basedOn w:val="21"/>
    <w:qFormat/>
    <w:uiPriority w:val="0"/>
    <w:rPr>
      <w:b/>
      <w:bCs/>
      <w:color w:val="000000"/>
      <w:spacing w:val="0"/>
      <w:w w:val="100"/>
      <w:position w:val="0"/>
      <w:lang w:val="zh-CN" w:eastAsia="zh-CN" w:bidi="zh-CN"/>
    </w:rPr>
  </w:style>
  <w:style w:type="character" w:customStyle="1" w:styleId="23">
    <w:name w:val="MSG_EN_FONT_STYLE_NAME_TEMPLATE_ROLE_NUMBER MSG_EN_FONT_STYLE_NAME_BY_ROLE_TEXT 2 + MSG_EN_FONT_STYLE_MODIFER_BOLD"/>
    <w:basedOn w:val="12"/>
    <w:qFormat/>
    <w:uiPriority w:val="0"/>
    <w:rPr>
      <w:b/>
      <w:bCs/>
      <w:color w:val="000000"/>
      <w:spacing w:val="0"/>
      <w:w w:val="100"/>
      <w:position w:val="0"/>
      <w:lang w:val="zh-CN" w:eastAsia="zh-CN" w:bidi="zh-CN"/>
    </w:rPr>
  </w:style>
  <w:style w:type="character" w:customStyle="1" w:styleId="24">
    <w:name w:val="MSG_EN_FONT_STYLE_NAME_TEMPLATE_ROLE_NUMBER MSG_EN_FONT_STYLE_NAME_BY_ROLE_TEXT 2 + MSG_EN_FONT_STYLE_MODIFER_SIZE 16"/>
    <w:basedOn w:val="12"/>
    <w:qFormat/>
    <w:uiPriority w:val="0"/>
    <w:rPr>
      <w:b/>
      <w:bCs/>
      <w:color w:val="000000"/>
      <w:spacing w:val="0"/>
      <w:w w:val="100"/>
      <w:position w:val="0"/>
      <w:sz w:val="32"/>
      <w:szCs w:val="32"/>
      <w:lang w:val="zh-CN" w:eastAsia="zh-CN" w:bidi="zh-CN"/>
    </w:rPr>
  </w:style>
  <w:style w:type="paragraph" w:customStyle="1" w:styleId="25">
    <w:name w:val="MSG_EN_FONT_STYLE_NAME_TEMPLATE_ROLE_LEVEL MSG_EN_FONT_STYLE_NAME_BY_ROLE_HEADING 2"/>
    <w:basedOn w:val="1"/>
    <w:qFormat/>
    <w:uiPriority w:val="0"/>
    <w:pPr>
      <w:widowControl w:val="0"/>
      <w:shd w:val="clear" w:color="auto" w:fill="FFFFFF"/>
      <w:spacing w:before="880" w:after="540" w:line="583" w:lineRule="exact"/>
      <w:jc w:val="center"/>
      <w:outlineLvl w:val="1"/>
    </w:pPr>
    <w:rPr>
      <w:rFonts w:ascii="PMingLiU" w:hAnsi="PMingLiU" w:eastAsia="PMingLiU" w:cs="PMingLiU"/>
      <w:sz w:val="42"/>
      <w:szCs w:val="42"/>
      <w:u w:val="none"/>
    </w:rPr>
  </w:style>
  <w:style w:type="character" w:customStyle="1" w:styleId="26">
    <w:name w:val="MSG_EN_FONT_STYLE_NAME_TEMPLATE_ROLE_NUMBER MSG_EN_FONT_STYLE_NAME_BY_ROLE_TEXT 2 + MSG_EN_FONT_STYLE_MODIFER_SIZE 9.5"/>
    <w:basedOn w:val="12"/>
    <w:qFormat/>
    <w:uiPriority w:val="0"/>
    <w:rPr>
      <w:color w:val="000000"/>
      <w:spacing w:val="10"/>
      <w:w w:val="100"/>
      <w:position w:val="0"/>
      <w:sz w:val="19"/>
      <w:szCs w:val="19"/>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183</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2020-07-24T09:14:00Z</dcterms:created>
  <dc:creator>广东长盈科技股份有限公司</dc:creator>
  <cp:lastModifiedBy>广东长盈科技股份有限公司</cp:lastModifiedBy>
  <dcterms:modified xsi:type="dcterms:W3CDTF">2020-07-29T01:40:30Z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