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jc w:val="center"/>
        <w:textAlignment w:val="auto"/>
        <w:outlineLvl w:val="0"/>
        <w:rPr>
          <w:rFonts w:hint="eastAsia" w:ascii="方正小标宋简体" w:hAnsi="方正小标宋简体" w:eastAsia="方正小标宋简体" w:cs="方正小标宋简体"/>
          <w:b w:val="0"/>
          <w:bCs/>
        </w:rPr>
      </w:pPr>
      <w:bookmarkStart w:id="2" w:name="_GoBack"/>
      <w:bookmarkStart w:id="0" w:name="bookmark2"/>
      <w:r>
        <w:rPr>
          <w:rFonts w:hint="eastAsia" w:ascii="方正小标宋简体" w:hAnsi="方正小标宋简体" w:eastAsia="方正小标宋简体" w:cs="方正小标宋简体"/>
          <w:b w:val="0"/>
          <w:bCs/>
          <w:lang w:val="en-US" w:eastAsia="zh-CN"/>
        </w:rPr>
        <w:t>33.</w:t>
      </w:r>
      <w:r>
        <w:rPr>
          <w:rFonts w:hint="eastAsia" w:ascii="方正小标宋简体" w:hAnsi="方正小标宋简体" w:eastAsia="方正小标宋简体" w:cs="方正小标宋简体"/>
          <w:b w:val="0"/>
          <w:bCs/>
          <w:lang w:val="zh-CN" w:eastAsia="zh-CN"/>
        </w:rPr>
        <w:t>广东省人民政府地方志办公室</w:t>
      </w:r>
      <w:r>
        <w:rPr>
          <w:rFonts w:hint="eastAsia" w:ascii="方正小标宋简体" w:hAnsi="方正小标宋简体" w:eastAsia="方正小标宋简体" w:cs="方正小标宋简体"/>
          <w:b w:val="0"/>
          <w:bCs/>
        </w:rPr>
        <w:t>2019</w:t>
      </w:r>
      <w:r>
        <w:rPr>
          <w:rFonts w:hint="eastAsia" w:ascii="方正小标宋简体" w:hAnsi="方正小标宋简体" w:eastAsia="方正小标宋简体" w:cs="方正小标宋简体"/>
          <w:b w:val="0"/>
          <w:bCs/>
          <w:lang w:val="zh-CN" w:eastAsia="zh-CN"/>
        </w:rPr>
        <w:t>年度行政审批和政务服务效能情况自评报告</w:t>
      </w:r>
      <w:bookmarkEnd w:id="0"/>
    </w:p>
    <w:bookmarkEnd w:id="2"/>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rPr>
          <w:color w:val="000000"/>
          <w:w w:val="100"/>
          <w:position w:val="0"/>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2019年，我办高度重视行政审批制度改革和政务服务效能提升，认真贯彻落实党中央、国务院和省委、省政府关于政务服务和数字政府改革建设工作部署，围绕服务党委政府中心工作、服务经济社会发展、服务人民群众，以问题为导向深化政府职能转变，推动高质量发展，持续深入做好公共文化服务，政务服务效能进一步提高。</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zh-CN" w:eastAsia="zh-CN" w:bidi="zh-CN"/>
        </w:rPr>
        <w:t>―、行政审批效能情况</w:t>
      </w:r>
    </w:p>
    <w:p>
      <w:pPr>
        <w:pStyle w:val="9"/>
        <w:keepNext w:val="0"/>
        <w:keepLines w:val="0"/>
        <w:pageBreakBefore w:val="0"/>
        <w:widowControl w:val="0"/>
        <w:shd w:val="clear" w:color="auto" w:fill="auto"/>
        <w:tabs>
          <w:tab w:val="left" w:pos="1610"/>
        </w:tabs>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(一）转变政府职能深化行政审批制度改革落实情况。</w:t>
      </w:r>
    </w:p>
    <w:p>
      <w:pPr>
        <w:pStyle w:val="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w:t>
      </w:r>
      <w:r>
        <w:rPr>
          <w:rFonts w:hint="eastAsia" w:ascii="仿宋_GB2312" w:hAnsi="仿宋_GB2312" w:eastAsia="仿宋_GB2312" w:cs="仿宋_GB2312"/>
          <w:b/>
          <w:bCs/>
          <w:color w:val="000000"/>
          <w:w w:val="100"/>
          <w:position w:val="0"/>
          <w:sz w:val="32"/>
          <w:szCs w:val="32"/>
          <w:lang w:val="zh-CN" w:eastAsia="zh-CN" w:bidi="zh-CN"/>
        </w:rPr>
        <w:t>政府职能转变和职权调整落实情况。</w:t>
      </w:r>
      <w:r>
        <w:rPr>
          <w:rFonts w:hint="eastAsia" w:ascii="仿宋_GB2312" w:hAnsi="仿宋_GB2312" w:eastAsia="仿宋_GB2312" w:cs="仿宋_GB2312"/>
          <w:color w:val="000000"/>
          <w:w w:val="100"/>
          <w:position w:val="0"/>
          <w:sz w:val="32"/>
          <w:szCs w:val="32"/>
          <w:lang w:val="zh-CN" w:eastAsia="zh-CN" w:bidi="zh-CN"/>
        </w:rPr>
        <w:t>我办无职能转变和职权调整任务。</w:t>
      </w:r>
    </w:p>
    <w:p>
      <w:pPr>
        <w:pStyle w:val="7"/>
        <w:keepNext w:val="0"/>
        <w:keepLines w:val="0"/>
        <w:pageBreakBefore w:val="0"/>
        <w:widowControl w:val="0"/>
        <w:numPr>
          <w:ilvl w:val="0"/>
          <w:numId w:val="0"/>
        </w:numPr>
        <w:shd w:val="clear" w:color="auto" w:fill="auto"/>
        <w:tabs>
          <w:tab w:val="left" w:pos="1076"/>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2.</w:t>
      </w:r>
      <w:r>
        <w:rPr>
          <w:rFonts w:hint="eastAsia" w:ascii="仿宋_GB2312" w:hAnsi="仿宋_GB2312" w:eastAsia="仿宋_GB2312" w:cs="仿宋_GB2312"/>
          <w:b/>
          <w:bCs/>
          <w:color w:val="000000"/>
          <w:w w:val="100"/>
          <w:position w:val="0"/>
          <w:sz w:val="32"/>
          <w:szCs w:val="32"/>
          <w:lang w:val="zh-CN" w:eastAsia="zh-CN" w:bidi="zh-CN"/>
        </w:rPr>
        <w:t>中介服务改革落实情况。</w:t>
      </w:r>
      <w:r>
        <w:rPr>
          <w:rFonts w:hint="eastAsia" w:ascii="仿宋_GB2312" w:hAnsi="仿宋_GB2312" w:eastAsia="仿宋_GB2312" w:cs="仿宋_GB2312"/>
          <w:color w:val="000000"/>
          <w:w w:val="100"/>
          <w:position w:val="0"/>
          <w:sz w:val="32"/>
          <w:szCs w:val="32"/>
          <w:lang w:val="zh-CN" w:eastAsia="zh-CN" w:bidi="zh-CN"/>
        </w:rPr>
        <w:t>我办无中介服务改革情况。</w:t>
      </w:r>
    </w:p>
    <w:p>
      <w:pPr>
        <w:pStyle w:val="7"/>
        <w:keepNext w:val="0"/>
        <w:keepLines w:val="0"/>
        <w:pageBreakBefore w:val="0"/>
        <w:widowControl w:val="0"/>
        <w:numPr>
          <w:ilvl w:val="0"/>
          <w:numId w:val="0"/>
        </w:numPr>
        <w:shd w:val="clear" w:color="auto" w:fill="auto"/>
        <w:tabs>
          <w:tab w:val="left" w:pos="1028"/>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3.</w:t>
      </w:r>
      <w:r>
        <w:rPr>
          <w:rFonts w:hint="eastAsia" w:ascii="仿宋_GB2312" w:hAnsi="仿宋_GB2312" w:eastAsia="仿宋_GB2312" w:cs="仿宋_GB2312"/>
          <w:b/>
          <w:bCs/>
          <w:color w:val="000000"/>
          <w:w w:val="100"/>
          <w:position w:val="0"/>
          <w:sz w:val="32"/>
          <w:szCs w:val="32"/>
          <w:lang w:val="zh-CN" w:eastAsia="zh-CN" w:bidi="zh-CN"/>
        </w:rPr>
        <w:t>政务服务事项标准化情况。</w:t>
      </w:r>
      <w:r>
        <w:rPr>
          <w:rFonts w:hint="eastAsia" w:ascii="仿宋_GB2312" w:hAnsi="仿宋_GB2312" w:eastAsia="仿宋_GB2312" w:cs="仿宋_GB2312"/>
          <w:color w:val="000000"/>
          <w:w w:val="100"/>
          <w:position w:val="0"/>
          <w:sz w:val="32"/>
          <w:szCs w:val="32"/>
          <w:lang w:val="zh-CN" w:eastAsia="zh-CN" w:bidi="zh-CN"/>
        </w:rPr>
        <w:t>根据《广东省2019年政务服务事项标准化专项工作实施_方案》相关工作要求，按时完成编制事项实施目录和实施清单。政务服务事项由原来的21项压减为两大项（内含4项），已根据法律法规和改革要求调整，并及时在省政务服务事项目录管理系统中动态更新事项要素。</w:t>
      </w:r>
    </w:p>
    <w:p>
      <w:pPr>
        <w:pStyle w:val="9"/>
        <w:keepNext w:val="0"/>
        <w:keepLines w:val="0"/>
        <w:pageBreakBefore w:val="0"/>
        <w:widowControl w:val="0"/>
        <w:shd w:val="clear" w:color="auto" w:fill="auto"/>
        <w:tabs>
          <w:tab w:val="left" w:pos="1610"/>
        </w:tabs>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(二）事项实施情况。</w:t>
      </w:r>
    </w:p>
    <w:p>
      <w:pPr>
        <w:pStyle w:val="7"/>
        <w:keepNext w:val="0"/>
        <w:keepLines w:val="0"/>
        <w:pageBreakBefore w:val="0"/>
        <w:widowControl w:val="0"/>
        <w:numPr>
          <w:ilvl w:val="0"/>
          <w:numId w:val="0"/>
        </w:numPr>
        <w:shd w:val="clear" w:color="auto" w:fill="auto"/>
        <w:tabs>
          <w:tab w:val="left" w:pos="977"/>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4.</w:t>
      </w:r>
      <w:r>
        <w:rPr>
          <w:rFonts w:hint="eastAsia" w:ascii="仿宋_GB2312" w:hAnsi="仿宋_GB2312" w:eastAsia="仿宋_GB2312" w:cs="仿宋_GB2312"/>
          <w:b/>
          <w:bCs/>
          <w:color w:val="000000"/>
          <w:w w:val="100"/>
          <w:position w:val="0"/>
          <w:sz w:val="32"/>
          <w:szCs w:val="32"/>
          <w:lang w:val="zh-CN" w:eastAsia="zh-CN" w:bidi="zh-CN"/>
        </w:rPr>
        <w:t>网上可办理情况。</w:t>
      </w:r>
      <w:r>
        <w:rPr>
          <w:rFonts w:hint="eastAsia" w:ascii="仿宋_GB2312" w:hAnsi="仿宋_GB2312" w:eastAsia="仿宋_GB2312" w:cs="仿宋_GB2312"/>
          <w:color w:val="000000"/>
          <w:w w:val="100"/>
          <w:position w:val="0"/>
          <w:sz w:val="32"/>
          <w:szCs w:val="32"/>
          <w:lang w:val="zh-CN" w:eastAsia="zh-CN" w:bidi="zh-CN"/>
        </w:rPr>
        <w:t>我办共有4项行政许可事项，全部可网上办理，依申请办理的政务服务事项网上可办理率为100%。</w:t>
      </w:r>
    </w:p>
    <w:p>
      <w:pPr>
        <w:pStyle w:val="7"/>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5.</w:t>
      </w:r>
      <w:r>
        <w:rPr>
          <w:rFonts w:hint="eastAsia" w:ascii="仿宋_GB2312" w:hAnsi="仿宋_GB2312" w:eastAsia="仿宋_GB2312" w:cs="仿宋_GB2312"/>
          <w:b/>
          <w:bCs/>
          <w:color w:val="000000"/>
          <w:w w:val="100"/>
          <w:position w:val="0"/>
          <w:sz w:val="32"/>
          <w:szCs w:val="32"/>
          <w:lang w:val="zh-CN" w:eastAsia="zh-CN" w:bidi="zh-CN"/>
        </w:rPr>
        <w:t>事项按时办结情况。</w:t>
      </w:r>
      <w:r>
        <w:rPr>
          <w:rFonts w:hint="eastAsia" w:ascii="仿宋_GB2312" w:hAnsi="仿宋_GB2312" w:eastAsia="仿宋_GB2312" w:cs="仿宋_GB2312"/>
          <w:color w:val="000000"/>
          <w:w w:val="100"/>
          <w:position w:val="0"/>
          <w:sz w:val="32"/>
          <w:szCs w:val="32"/>
          <w:lang w:val="zh-CN" w:eastAsia="zh-CN" w:bidi="zh-CN"/>
        </w:rPr>
        <w:t>2019年，我办共有2起行政许可申请事项，全部在网上按时办结，并在省情网上进行了公示，办结率为100%。</w:t>
      </w:r>
    </w:p>
    <w:p>
      <w:pPr>
        <w:pStyle w:val="7"/>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6.</w:t>
      </w:r>
      <w:r>
        <w:rPr>
          <w:rFonts w:hint="eastAsia" w:ascii="仿宋_GB2312" w:hAnsi="仿宋_GB2312" w:eastAsia="仿宋_GB2312" w:cs="仿宋_GB2312"/>
          <w:b/>
          <w:bCs/>
          <w:color w:val="000000"/>
          <w:w w:val="100"/>
          <w:position w:val="0"/>
          <w:sz w:val="32"/>
          <w:szCs w:val="32"/>
          <w:lang w:val="zh-CN" w:eastAsia="zh-CN" w:bidi="zh-CN"/>
        </w:rPr>
        <w:t>跑动次数情况。</w:t>
      </w:r>
      <w:r>
        <w:rPr>
          <w:rFonts w:hint="eastAsia" w:ascii="仿宋_GB2312" w:hAnsi="仿宋_GB2312" w:eastAsia="仿宋_GB2312" w:cs="仿宋_GB2312"/>
          <w:color w:val="000000"/>
          <w:w w:val="100"/>
          <w:position w:val="0"/>
          <w:sz w:val="32"/>
          <w:szCs w:val="32"/>
          <w:lang w:val="zh-CN" w:eastAsia="zh-CN" w:bidi="zh-CN"/>
        </w:rPr>
        <w:t>我办行政许可事项全部实现网上办理，办理十分便捷。2019年共办理2起行政许可事项，网上申办事项到现场跑动次数为0次。</w:t>
      </w:r>
    </w:p>
    <w:p>
      <w:pPr>
        <w:pStyle w:val="7"/>
        <w:keepNext w:val="0"/>
        <w:keepLines w:val="0"/>
        <w:pageBreakBefore w:val="0"/>
        <w:widowControl w:val="0"/>
        <w:numPr>
          <w:ilvl w:val="0"/>
          <w:numId w:val="0"/>
        </w:numPr>
        <w:shd w:val="clear" w:color="auto" w:fill="auto"/>
        <w:tabs>
          <w:tab w:val="left" w:pos="99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7.</w:t>
      </w:r>
      <w:r>
        <w:rPr>
          <w:rFonts w:hint="eastAsia" w:ascii="仿宋_GB2312" w:hAnsi="仿宋_GB2312" w:eastAsia="仿宋_GB2312" w:cs="仿宋_GB2312"/>
          <w:b/>
          <w:bCs/>
          <w:color w:val="000000"/>
          <w:w w:val="100"/>
          <w:position w:val="0"/>
          <w:sz w:val="32"/>
          <w:szCs w:val="32"/>
          <w:lang w:val="zh-CN" w:eastAsia="zh-CN" w:bidi="zh-CN"/>
        </w:rPr>
        <w:t>行政许可事项网上全流程办理情况。</w:t>
      </w:r>
      <w:r>
        <w:rPr>
          <w:rFonts w:hint="eastAsia" w:ascii="仿宋_GB2312" w:hAnsi="仿宋_GB2312" w:eastAsia="仿宋_GB2312" w:cs="仿宋_GB2312"/>
          <w:color w:val="000000"/>
          <w:w w:val="100"/>
          <w:position w:val="0"/>
          <w:sz w:val="32"/>
          <w:szCs w:val="32"/>
          <w:lang w:val="zh-CN" w:eastAsia="zh-CN" w:bidi="zh-CN"/>
        </w:rPr>
        <w:t>我办全部行政许可事项实现100%全流程网上办理。</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right="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(三）加强事中事后监管情况。</w:t>
      </w:r>
    </w:p>
    <w:p>
      <w:pPr>
        <w:pStyle w:val="7"/>
        <w:keepNext w:val="0"/>
        <w:keepLines w:val="0"/>
        <w:pageBreakBefore w:val="0"/>
        <w:widowControl w:val="0"/>
        <w:numPr>
          <w:ilvl w:val="0"/>
          <w:numId w:val="0"/>
        </w:numPr>
        <w:shd w:val="clear" w:color="auto" w:fill="auto"/>
        <w:tabs>
          <w:tab w:val="left" w:pos="1013"/>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8.</w:t>
      </w:r>
      <w:r>
        <w:rPr>
          <w:rFonts w:hint="eastAsia" w:ascii="仿宋_GB2312" w:hAnsi="仿宋_GB2312" w:eastAsia="仿宋_GB2312" w:cs="仿宋_GB2312"/>
          <w:b/>
          <w:bCs/>
          <w:color w:val="000000"/>
          <w:w w:val="100"/>
          <w:position w:val="0"/>
          <w:sz w:val="32"/>
          <w:szCs w:val="32"/>
          <w:lang w:val="zh-CN" w:eastAsia="zh-CN" w:bidi="zh-CN"/>
        </w:rPr>
        <w:t>建立健全监管制度机制情况。</w:t>
      </w:r>
      <w:r>
        <w:rPr>
          <w:rFonts w:hint="eastAsia" w:ascii="仿宋_GB2312" w:hAnsi="仿宋_GB2312" w:eastAsia="仿宋_GB2312" w:cs="仿宋_GB2312"/>
          <w:color w:val="000000"/>
          <w:w w:val="100"/>
          <w:position w:val="0"/>
          <w:sz w:val="32"/>
          <w:szCs w:val="32"/>
          <w:lang w:val="zh-CN" w:eastAsia="zh-CN" w:bidi="zh-CN"/>
        </w:rPr>
        <w:t>一方面，我办积极建立健全监管制度，完善监管细则。现行有效的制度有《广东省地方志书审查验收办法（试行)》《关于印发〈广东省年鉴质量评价办法〉的通知》《机关纪委工作制度》《广东省地方志工作条例》《广东省地方志编纂手册》等。此外，相关的事中事后监管主要通过内部管理和相关业务规范进行，体现在业务流程中，行政许可事项业务手册中均有监督检查的相关规定，包括书面检查、投诉举报、诚信档案等。另一方面，积极推动社会共治，先后与仲恺农业工程学院、华南师范大学等高校合作共建“岭南地方文化研究中心”“华南地方史志研究中心”“大学生社会实践教学基地”；建立广东省地方志专家库，吸纳社会各类专家参与地方志事业，至2019年底，广东省情专家库专家达98人，其中2019年增补21人。</w:t>
      </w:r>
    </w:p>
    <w:p>
      <w:pPr>
        <w:pStyle w:val="7"/>
        <w:keepNext w:val="0"/>
        <w:keepLines w:val="0"/>
        <w:pageBreakBefore w:val="0"/>
        <w:widowControl w:val="0"/>
        <w:numPr>
          <w:ilvl w:val="0"/>
          <w:numId w:val="0"/>
        </w:numPr>
        <w:shd w:val="clear" w:color="auto" w:fill="auto"/>
        <w:tabs>
          <w:tab w:val="left" w:pos="982"/>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9.</w:t>
      </w:r>
      <w:r>
        <w:rPr>
          <w:rFonts w:hint="eastAsia" w:ascii="仿宋_GB2312" w:hAnsi="仿宋_GB2312" w:eastAsia="仿宋_GB2312" w:cs="仿宋_GB2312"/>
          <w:b/>
          <w:bCs/>
          <w:color w:val="000000"/>
          <w:w w:val="100"/>
          <w:position w:val="0"/>
          <w:sz w:val="32"/>
          <w:szCs w:val="32"/>
          <w:lang w:val="zh-CN" w:eastAsia="zh-CN" w:bidi="zh-CN"/>
        </w:rPr>
        <w:t>开展监管情况。</w:t>
      </w:r>
      <w:r>
        <w:rPr>
          <w:rFonts w:hint="eastAsia" w:ascii="仿宋_GB2312" w:hAnsi="仿宋_GB2312" w:eastAsia="仿宋_GB2312" w:cs="仿宋_GB2312"/>
          <w:color w:val="000000"/>
          <w:w w:val="100"/>
          <w:position w:val="0"/>
          <w:sz w:val="32"/>
          <w:szCs w:val="32"/>
          <w:lang w:val="zh-CN" w:eastAsia="zh-CN" w:bidi="zh-CN"/>
        </w:rPr>
        <w:t>我办2019年无地方志书审批事项，只有广东年鉴编纂相关审批事项。《广东年鉴》由广东省人民政府主管，省长主编，我办在主办过程中严格落实监督监管、依法编鉴。严格落实撰稿培训、评议审读等各项措施，全程跟踪参与审稿，全过程监管。根据“双随机、一公开”要求，对年鉴编纂过程制定检查计划，及时开展检查督办、通报检查结果，实行严格的全程质量把关和监管，《广东年鉴》由省政府领导签批后出版印刷。</w:t>
      </w:r>
    </w:p>
    <w:p>
      <w:pPr>
        <w:pStyle w:val="7"/>
        <w:keepNext w:val="0"/>
        <w:keepLines w:val="0"/>
        <w:pageBreakBefore w:val="0"/>
        <w:widowControl w:val="0"/>
        <w:numPr>
          <w:ilvl w:val="0"/>
          <w:numId w:val="0"/>
        </w:numPr>
        <w:shd w:val="clear" w:color="auto" w:fill="auto"/>
        <w:tabs>
          <w:tab w:val="left" w:pos="114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10.</w:t>
      </w:r>
      <w:r>
        <w:rPr>
          <w:rFonts w:hint="eastAsia" w:ascii="仿宋_GB2312" w:hAnsi="仿宋_GB2312" w:eastAsia="仿宋_GB2312" w:cs="仿宋_GB2312"/>
          <w:b/>
          <w:bCs/>
          <w:color w:val="000000"/>
          <w:w w:val="100"/>
          <w:position w:val="0"/>
          <w:sz w:val="32"/>
          <w:szCs w:val="32"/>
          <w:lang w:val="zh-CN" w:eastAsia="zh-CN" w:bidi="zh-CN"/>
        </w:rPr>
        <w:t>创新监管方式情况。</w:t>
      </w:r>
      <w:r>
        <w:rPr>
          <w:rFonts w:hint="eastAsia" w:ascii="仿宋_GB2312" w:hAnsi="仿宋_GB2312" w:eastAsia="仿宋_GB2312" w:cs="仿宋_GB2312"/>
          <w:color w:val="000000"/>
          <w:w w:val="100"/>
          <w:position w:val="0"/>
          <w:sz w:val="32"/>
          <w:szCs w:val="32"/>
          <w:lang w:val="zh-CN" w:eastAsia="zh-CN" w:bidi="zh-CN"/>
        </w:rPr>
        <w:t>一方面，我办积极推行信息技术、大数据分析、在线实时监测等创新监管方式。以全省自然村落历史人文普查为基础，全面启动全粤村情数据平台项目建设，利用大数据技术，对13万多个自然村的村情数据进行深入挖掘、全面分析，为推进乡村振兴战略实施提供参考。另一方面，我办主动探索监管新机制，参与广东省“双随机、一公开”监管工作平台建设。一是根据省政府工作安排，按时完成政务服务事项梳理，压减行政审批事项，仅保留行政许可和行政奖励两大项，并录入广东省双随机、一公开监管工作平台。我办服务对象为企事业法人和行政机关，所有事项均及时在政务服务网和广东省行政执法信息公开平台公示。二是积极支持参与粤政图平台建设，全粤村情数据平台被列为“粤政图”平台典型示范应用之一，实现数据的互联、互通、互认、共享，以实际行动配合“数字政府”建设。</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(四）创新和优化服务情况。</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11.</w:t>
      </w:r>
      <w:r>
        <w:rPr>
          <w:rFonts w:hint="eastAsia" w:ascii="仿宋_GB2312" w:hAnsi="仿宋_GB2312" w:eastAsia="仿宋_GB2312" w:cs="仿宋_GB2312"/>
          <w:b/>
          <w:bCs/>
          <w:color w:val="000000"/>
          <w:w w:val="100"/>
          <w:position w:val="0"/>
          <w:sz w:val="32"/>
          <w:szCs w:val="32"/>
          <w:lang w:val="zh-CN" w:eastAsia="zh-CN" w:bidi="zh-CN"/>
        </w:rPr>
        <w:t>开展减证便民情况。</w:t>
      </w:r>
      <w:r>
        <w:rPr>
          <w:rFonts w:hint="eastAsia" w:ascii="仿宋_GB2312" w:hAnsi="仿宋_GB2312" w:eastAsia="仿宋_GB2312" w:cs="仿宋_GB2312"/>
          <w:color w:val="000000"/>
          <w:w w:val="100"/>
          <w:position w:val="0"/>
          <w:sz w:val="32"/>
          <w:szCs w:val="32"/>
          <w:lang w:val="zh-CN" w:eastAsia="zh-CN" w:bidi="zh-CN"/>
        </w:rPr>
        <w:t>我办能够及时更新办事指南、申报指南及材料清单。严格遵守没有法律法规规定的证明事项一律取消原则，不存在规章、规范性文件或者办事指南、申报指南、材料清单等设定证明事项，或者在实际操作过程中违法增设证明事项和证明材料、提高证明要求或者随意将行政机关的核查义务转嫁给群众和企业等问题。我办无试点，但积极配合试点单位落实证明事项告知承诺制试点任务。</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12.</w:t>
      </w:r>
      <w:r>
        <w:rPr>
          <w:rFonts w:hint="eastAsia" w:ascii="仿宋_GB2312" w:hAnsi="仿宋_GB2312" w:eastAsia="仿宋_GB2312" w:cs="仿宋_GB2312"/>
          <w:b/>
          <w:bCs/>
          <w:color w:val="000000"/>
          <w:w w:val="100"/>
          <w:position w:val="0"/>
          <w:sz w:val="32"/>
          <w:szCs w:val="32"/>
          <w:lang w:val="zh-CN" w:eastAsia="zh-CN" w:bidi="zh-CN"/>
        </w:rPr>
        <w:t>建立部门间信息共享和推进电子证照建设情况。</w:t>
      </w:r>
      <w:r>
        <w:rPr>
          <w:rFonts w:hint="eastAsia" w:ascii="仿宋_GB2312" w:hAnsi="仿宋_GB2312" w:eastAsia="仿宋_GB2312" w:cs="仿宋_GB2312"/>
          <w:color w:val="000000"/>
          <w:w w:val="100"/>
          <w:position w:val="0"/>
          <w:sz w:val="32"/>
          <w:szCs w:val="32"/>
          <w:lang w:val="zh-CN" w:eastAsia="zh-CN" w:bidi="zh-CN"/>
        </w:rPr>
        <w:t>我办严格落实省政务信息资源编目信息和更新机制，完成政务信息资源的梳理工作，在开放广东平台发布省级数据集5个，地方志信息资源多数是主动公开，无有条件共享数据。我办仅对直属单位广东年鉴社行使行政审批，无需电子证照。</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13.</w:t>
      </w:r>
      <w:r>
        <w:rPr>
          <w:rFonts w:hint="eastAsia" w:ascii="仿宋_GB2312" w:hAnsi="仿宋_GB2312" w:eastAsia="仿宋_GB2312" w:cs="仿宋_GB2312"/>
          <w:b/>
          <w:bCs/>
          <w:color w:val="000000"/>
          <w:w w:val="100"/>
          <w:position w:val="0"/>
          <w:sz w:val="32"/>
          <w:szCs w:val="32"/>
          <w:lang w:val="zh-CN" w:eastAsia="zh-CN" w:bidi="zh-CN"/>
        </w:rPr>
        <w:t>提高服务质量情况。一</w:t>
      </w:r>
      <w:r>
        <w:rPr>
          <w:rFonts w:hint="eastAsia" w:ascii="仿宋_GB2312" w:hAnsi="仿宋_GB2312" w:eastAsia="仿宋_GB2312" w:cs="仿宋_GB2312"/>
          <w:color w:val="000000"/>
          <w:w w:val="100"/>
          <w:position w:val="0"/>
          <w:sz w:val="32"/>
          <w:szCs w:val="32"/>
          <w:lang w:val="zh-CN" w:eastAsia="zh-CN" w:bidi="zh-CN"/>
        </w:rPr>
        <w:t>是加强工作制度建设。成立并及时调整政务公开工作领导小组和办公室，印发《广东省人民政府地方志办公室政务公开工作管理办法（试行)》《广东省人民政府地方志办公室政务会议开放制度（试行)》，明确行政审批和政务公开工作组及职责、流程、工作要求、内部监管，保障公众的知情权、参与权、表达权和监督权。加强对办内行政许可受理部门和基层地方志工作机构行政许可事宜的业务指导、监督和服务。明确地方志以“服务党委政府、服务经济社会发展、服务人民群众”为出发点和落脚点，树立“责任、开放、创新、服务”发展理念，通过修志编鉴、地方志资源开发利用，充分发挥地方志“存史、资政、育人”功能，切实提高服务基层、群众（企业)、相关部门能力水平。如建立《办领导联系各市制度》服务基层，通过广东省方志馆、广东省情网、方志广东微信公众号、举办展览服务群众。二是加强对事项申办、受理环节监督监控。建立健全首问负责、一次性告知、预约办理、自助办理等优化服务制度。机关纪委全程参与，加强对事项申办、受理环节的监督监控，及时发现办理过程中不作为、乱作为、慢作为问题，确保服务过程可考核、有追踪、受监督。加强对事项效能评价公示。三是我办行政审批服务实现网上</w:t>
      </w:r>
      <w:r>
        <w:rPr>
          <w:rFonts w:hint="eastAsia" w:ascii="仿宋_GB2312" w:hAnsi="仿宋_GB2312" w:eastAsia="仿宋_GB2312" w:cs="仿宋_GB2312"/>
          <w:color w:val="000000"/>
          <w:w w:val="100"/>
          <w:position w:val="0"/>
          <w:sz w:val="32"/>
          <w:szCs w:val="32"/>
          <w:lang w:val="en-US" w:eastAsia="en-US" w:bidi="en-US"/>
        </w:rPr>
        <w:t>7</w:t>
      </w:r>
      <w:r>
        <w:rPr>
          <w:rStyle w:val="10"/>
          <w:rFonts w:hint="eastAsia" w:ascii="仿宋_GB2312" w:hAnsi="仿宋_GB2312" w:eastAsia="仿宋_GB2312" w:cs="仿宋_GB2312"/>
          <w:b w:val="0"/>
          <w:bCs w:val="0"/>
          <w:i w:val="0"/>
          <w:iCs w:val="0"/>
          <w:smallCaps w:val="0"/>
          <w:strike w:val="0"/>
          <w:sz w:val="32"/>
          <w:szCs w:val="32"/>
        </w:rPr>
        <w:t>x</w:t>
      </w:r>
      <w:r>
        <w:rPr>
          <w:rFonts w:hint="eastAsia" w:ascii="仿宋_GB2312" w:hAnsi="仿宋_GB2312" w:eastAsia="仿宋_GB2312" w:cs="仿宋_GB2312"/>
          <w:color w:val="000000"/>
          <w:w w:val="100"/>
          <w:position w:val="0"/>
          <w:sz w:val="32"/>
          <w:szCs w:val="32"/>
          <w:lang w:val="en-US" w:eastAsia="en-US" w:bidi="en-US"/>
        </w:rPr>
        <w:t>24</w:t>
      </w:r>
      <w:r>
        <w:rPr>
          <w:rFonts w:hint="eastAsia" w:ascii="仿宋_GB2312" w:hAnsi="仿宋_GB2312" w:eastAsia="仿宋_GB2312" w:cs="仿宋_GB2312"/>
          <w:color w:val="000000"/>
          <w:w w:val="100"/>
          <w:position w:val="0"/>
          <w:sz w:val="32"/>
          <w:szCs w:val="32"/>
          <w:lang w:val="zh-CN" w:eastAsia="zh-CN" w:bidi="zh-CN"/>
        </w:rPr>
        <w:t>小时全天候在线申请，推广绿色通遒、告知承诺等便利化措施，推行全方位服务制度。四是大力服务粤港澳大湾区建设、深圳建设中国特色社会主义先行示范区、广州推动“四个出新出彩”实现老城市新活力。</w:t>
      </w:r>
    </w:p>
    <w:p>
      <w:pPr>
        <w:pStyle w:val="7"/>
        <w:keepNext w:val="0"/>
        <w:keepLines w:val="0"/>
        <w:pageBreakBefore w:val="0"/>
        <w:widowControl w:val="0"/>
        <w:numPr>
          <w:ilvl w:val="0"/>
          <w:numId w:val="0"/>
        </w:numPr>
        <w:shd w:val="clear" w:color="auto" w:fill="auto"/>
        <w:tabs>
          <w:tab w:val="left" w:pos="1119"/>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14.</w:t>
      </w:r>
      <w:r>
        <w:rPr>
          <w:rFonts w:hint="eastAsia" w:ascii="仿宋_GB2312" w:hAnsi="仿宋_GB2312" w:eastAsia="仿宋_GB2312" w:cs="仿宋_GB2312"/>
          <w:b/>
          <w:bCs/>
          <w:color w:val="000000"/>
          <w:w w:val="100"/>
          <w:position w:val="0"/>
          <w:sz w:val="32"/>
          <w:szCs w:val="32"/>
          <w:lang w:val="zh-CN" w:eastAsia="zh-CN" w:bidi="zh-CN"/>
        </w:rPr>
        <w:t>优化办理流程情况。</w:t>
      </w:r>
      <w:r>
        <w:rPr>
          <w:rFonts w:hint="eastAsia" w:ascii="仿宋_GB2312" w:hAnsi="仿宋_GB2312" w:eastAsia="仿宋_GB2312" w:cs="仿宋_GB2312"/>
          <w:color w:val="000000"/>
          <w:w w:val="100"/>
          <w:position w:val="0"/>
          <w:sz w:val="32"/>
          <w:szCs w:val="32"/>
          <w:lang w:val="zh-CN" w:eastAsia="zh-CN" w:bidi="zh-CN"/>
        </w:rPr>
        <w:t>我办行政许可事项均可即办，实际办理时都是快速办理，而且一直都是扁平化办理，由具有相关审批权限的部门直接受理，不需要跨部门。</w:t>
      </w:r>
    </w:p>
    <w:p>
      <w:pPr>
        <w:pStyle w:val="7"/>
        <w:keepNext w:val="0"/>
        <w:keepLines w:val="0"/>
        <w:pageBreakBefore w:val="0"/>
        <w:widowControl w:val="0"/>
        <w:numPr>
          <w:ilvl w:val="0"/>
          <w:numId w:val="0"/>
        </w:numPr>
        <w:shd w:val="clear" w:color="auto" w:fill="auto"/>
        <w:tabs>
          <w:tab w:val="left" w:pos="1141"/>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15.</w:t>
      </w:r>
      <w:r>
        <w:rPr>
          <w:rFonts w:hint="eastAsia" w:ascii="仿宋_GB2312" w:hAnsi="仿宋_GB2312" w:eastAsia="仿宋_GB2312" w:cs="仿宋_GB2312"/>
          <w:b/>
          <w:bCs/>
          <w:color w:val="000000"/>
          <w:w w:val="100"/>
          <w:position w:val="0"/>
          <w:sz w:val="32"/>
          <w:szCs w:val="32"/>
          <w:lang w:val="zh-CN" w:eastAsia="zh-CN" w:bidi="zh-CN"/>
        </w:rPr>
        <w:t>精简规范办事材料情况。</w:t>
      </w:r>
      <w:r>
        <w:rPr>
          <w:rFonts w:hint="eastAsia" w:ascii="仿宋_GB2312" w:hAnsi="仿宋_GB2312" w:eastAsia="仿宋_GB2312" w:cs="仿宋_GB2312"/>
          <w:color w:val="000000"/>
          <w:w w:val="100"/>
          <w:position w:val="0"/>
          <w:sz w:val="32"/>
          <w:szCs w:val="32"/>
          <w:lang w:val="zh-CN" w:eastAsia="zh-CN" w:bidi="zh-CN"/>
        </w:rPr>
        <w:t>我办在网上办事大厅公开办事指南，利用“告知+承诺”办理模式，承担的4项行政许可办事材料都极为精简。其中省级地方志书冠名编纂许可仅需提供《申请省级地方志书、综合年鉴冠名编纂许可的文书》；省级地方综合年鉴冠名编纂许可仅需提供《申请省级地方志书、综合年鉴冠名编纂许可的文书》《法人证书》《机构编制方案》；省级地方志书出版许可仅需提供《申请省级地方志书出版许可的文书》；省级地方综</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72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合年鉴出版许可仅需提供《申请省级综合年鉴出版许可的文书》。</w:t>
      </w:r>
    </w:p>
    <w:p>
      <w:pPr>
        <w:pStyle w:val="7"/>
        <w:keepNext w:val="0"/>
        <w:keepLines w:val="0"/>
        <w:pageBreakBefore w:val="0"/>
        <w:widowControl w:val="0"/>
        <w:numPr>
          <w:ilvl w:val="0"/>
          <w:numId w:val="0"/>
        </w:numPr>
        <w:shd w:val="clear" w:color="auto" w:fill="auto"/>
        <w:tabs>
          <w:tab w:val="left" w:pos="1215"/>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16.</w:t>
      </w:r>
      <w:r>
        <w:rPr>
          <w:rFonts w:hint="eastAsia" w:ascii="仿宋_GB2312" w:hAnsi="仿宋_GB2312" w:eastAsia="仿宋_GB2312" w:cs="仿宋_GB2312"/>
          <w:b/>
          <w:bCs/>
          <w:color w:val="000000"/>
          <w:w w:val="100"/>
          <w:position w:val="0"/>
          <w:sz w:val="32"/>
          <w:szCs w:val="32"/>
          <w:lang w:val="zh-CN" w:eastAsia="zh-CN" w:bidi="zh-CN"/>
        </w:rPr>
        <w:t>缩短办事时限情况。</w:t>
      </w:r>
      <w:r>
        <w:rPr>
          <w:rStyle w:val="12"/>
          <w:rFonts w:hint="eastAsia" w:ascii="仿宋_GB2312" w:hAnsi="仿宋_GB2312" w:eastAsia="仿宋_GB2312" w:cs="仿宋_GB2312"/>
          <w:b w:val="0"/>
          <w:bCs w:val="0"/>
          <w:i w:val="0"/>
          <w:iCs w:val="0"/>
          <w:smallCaps w:val="0"/>
          <w:strike w:val="0"/>
          <w:sz w:val="32"/>
          <w:szCs w:val="32"/>
        </w:rPr>
        <w:t>2019</w:t>
      </w:r>
      <w:r>
        <w:rPr>
          <w:rFonts w:hint="eastAsia" w:ascii="仿宋_GB2312" w:hAnsi="仿宋_GB2312" w:eastAsia="仿宋_GB2312" w:cs="仿宋_GB2312"/>
          <w:color w:val="000000"/>
          <w:w w:val="100"/>
          <w:position w:val="0"/>
          <w:sz w:val="32"/>
          <w:szCs w:val="32"/>
          <w:lang w:val="zh-CN" w:eastAsia="zh-CN" w:bidi="zh-CN"/>
        </w:rPr>
        <w:t>年我办承担的行政许可事项承诺时限除省级地方志书出版许可外，其佘</w:t>
      </w:r>
      <w:r>
        <w:rPr>
          <w:rStyle w:val="12"/>
          <w:rFonts w:hint="eastAsia" w:ascii="仿宋_GB2312" w:hAnsi="仿宋_GB2312" w:eastAsia="仿宋_GB2312" w:cs="仿宋_GB2312"/>
          <w:b w:val="0"/>
          <w:bCs w:val="0"/>
          <w:i w:val="0"/>
          <w:iCs w:val="0"/>
          <w:smallCaps w:val="0"/>
          <w:strike w:val="0"/>
          <w:sz w:val="32"/>
          <w:szCs w:val="32"/>
        </w:rPr>
        <w:t>3</w:t>
      </w:r>
      <w:r>
        <w:rPr>
          <w:rFonts w:hint="eastAsia" w:ascii="仿宋_GB2312" w:hAnsi="仿宋_GB2312" w:eastAsia="仿宋_GB2312" w:cs="仿宋_GB2312"/>
          <w:color w:val="000000"/>
          <w:w w:val="100"/>
          <w:position w:val="0"/>
          <w:sz w:val="32"/>
          <w:szCs w:val="32"/>
          <w:lang w:val="zh-CN" w:eastAsia="zh-CN" w:bidi="zh-CN"/>
        </w:rPr>
        <w:t>项行政许可的承诺时限均低于法定办理时限。其中，省级地方志书冠名编纂许可法定时限</w:t>
      </w:r>
      <w:r>
        <w:rPr>
          <w:rStyle w:val="12"/>
          <w:rFonts w:hint="eastAsia" w:ascii="仿宋_GB2312" w:hAnsi="仿宋_GB2312" w:eastAsia="仿宋_GB2312" w:cs="仿宋_GB2312"/>
          <w:b w:val="0"/>
          <w:bCs w:val="0"/>
          <w:i w:val="0"/>
          <w:iCs w:val="0"/>
          <w:smallCaps w:val="0"/>
          <w:strike w:val="0"/>
          <w:sz w:val="32"/>
          <w:szCs w:val="32"/>
        </w:rPr>
        <w:t>20</w:t>
      </w:r>
      <w:r>
        <w:rPr>
          <w:rFonts w:hint="eastAsia" w:ascii="仿宋_GB2312" w:hAnsi="仿宋_GB2312" w:eastAsia="仿宋_GB2312" w:cs="仿宋_GB2312"/>
          <w:color w:val="000000"/>
          <w:w w:val="100"/>
          <w:position w:val="0"/>
          <w:sz w:val="32"/>
          <w:szCs w:val="32"/>
          <w:lang w:val="zh-CN" w:eastAsia="zh-CN" w:bidi="zh-CN"/>
        </w:rPr>
        <w:t>个工作日，承诺时限压缩至</w:t>
      </w:r>
      <w:r>
        <w:rPr>
          <w:rStyle w:val="12"/>
          <w:rFonts w:hint="eastAsia" w:ascii="仿宋_GB2312" w:hAnsi="仿宋_GB2312" w:eastAsia="仿宋_GB2312" w:cs="仿宋_GB2312"/>
          <w:b w:val="0"/>
          <w:bCs w:val="0"/>
          <w:i w:val="0"/>
          <w:iCs w:val="0"/>
          <w:smallCaps w:val="0"/>
          <w:strike w:val="0"/>
          <w:sz w:val="32"/>
          <w:szCs w:val="32"/>
        </w:rPr>
        <w:t>5</w:t>
      </w:r>
      <w:r>
        <w:rPr>
          <w:rFonts w:hint="eastAsia" w:ascii="仿宋_GB2312" w:hAnsi="仿宋_GB2312" w:eastAsia="仿宋_GB2312" w:cs="仿宋_GB2312"/>
          <w:color w:val="000000"/>
          <w:w w:val="100"/>
          <w:position w:val="0"/>
          <w:sz w:val="32"/>
          <w:szCs w:val="32"/>
          <w:lang w:val="zh-CN" w:eastAsia="zh-CN" w:bidi="zh-CN"/>
        </w:rPr>
        <w:t>个工作日；省级地方综合年鉴冠名编纂许可法定时限</w:t>
      </w:r>
      <w:r>
        <w:rPr>
          <w:rStyle w:val="12"/>
          <w:rFonts w:hint="eastAsia" w:ascii="仿宋_GB2312" w:hAnsi="仿宋_GB2312" w:eastAsia="仿宋_GB2312" w:cs="仿宋_GB2312"/>
          <w:b w:val="0"/>
          <w:bCs w:val="0"/>
          <w:i w:val="0"/>
          <w:iCs w:val="0"/>
          <w:smallCaps w:val="0"/>
          <w:strike w:val="0"/>
          <w:sz w:val="32"/>
          <w:szCs w:val="32"/>
        </w:rPr>
        <w:t>20</w:t>
      </w:r>
      <w:r>
        <w:rPr>
          <w:rFonts w:hint="eastAsia" w:ascii="仿宋_GB2312" w:hAnsi="仿宋_GB2312" w:eastAsia="仿宋_GB2312" w:cs="仿宋_GB2312"/>
          <w:color w:val="000000"/>
          <w:w w:val="100"/>
          <w:position w:val="0"/>
          <w:sz w:val="32"/>
          <w:szCs w:val="32"/>
          <w:lang w:val="zh-CN" w:eastAsia="zh-CN" w:bidi="zh-CN"/>
        </w:rPr>
        <w:t>个工作日，承诺时限压缩至</w:t>
      </w:r>
      <w:r>
        <w:rPr>
          <w:rStyle w:val="12"/>
          <w:rFonts w:hint="eastAsia" w:ascii="仿宋_GB2312" w:hAnsi="仿宋_GB2312" w:eastAsia="仿宋_GB2312" w:cs="仿宋_GB2312"/>
          <w:b w:val="0"/>
          <w:bCs w:val="0"/>
          <w:i w:val="0"/>
          <w:iCs w:val="0"/>
          <w:smallCaps w:val="0"/>
          <w:strike w:val="0"/>
          <w:sz w:val="32"/>
          <w:szCs w:val="32"/>
        </w:rPr>
        <w:t>5</w:t>
      </w:r>
      <w:r>
        <w:rPr>
          <w:rFonts w:hint="eastAsia" w:ascii="仿宋_GB2312" w:hAnsi="仿宋_GB2312" w:eastAsia="仿宋_GB2312" w:cs="仿宋_GB2312"/>
          <w:color w:val="000000"/>
          <w:w w:val="100"/>
          <w:position w:val="0"/>
          <w:sz w:val="32"/>
          <w:szCs w:val="32"/>
          <w:lang w:val="zh-CN" w:eastAsia="zh-CN" w:bidi="zh-CN"/>
        </w:rPr>
        <w:t>个工作日；省级地方综合年鉴出版许可法定时限20个工作日，承诺时限压缩至</w:t>
      </w:r>
      <w:r>
        <w:rPr>
          <w:rStyle w:val="12"/>
          <w:rFonts w:hint="eastAsia" w:ascii="仿宋_GB2312" w:hAnsi="仿宋_GB2312" w:eastAsia="仿宋_GB2312" w:cs="仿宋_GB2312"/>
          <w:b w:val="0"/>
          <w:bCs w:val="0"/>
          <w:i w:val="0"/>
          <w:iCs w:val="0"/>
          <w:smallCaps w:val="0"/>
          <w:strike w:val="0"/>
          <w:sz w:val="32"/>
          <w:szCs w:val="32"/>
        </w:rPr>
        <w:t>5</w:t>
      </w:r>
      <w:r>
        <w:rPr>
          <w:rFonts w:hint="eastAsia" w:ascii="仿宋_GB2312" w:hAnsi="仿宋_GB2312" w:eastAsia="仿宋_GB2312" w:cs="仿宋_GB2312"/>
          <w:color w:val="000000"/>
          <w:w w:val="100"/>
          <w:position w:val="0"/>
          <w:sz w:val="32"/>
          <w:szCs w:val="32"/>
          <w:lang w:val="zh-CN" w:eastAsia="zh-CN" w:bidi="zh-CN"/>
        </w:rPr>
        <w:t>个工作日。</w:t>
      </w:r>
      <w:r>
        <w:rPr>
          <w:rStyle w:val="12"/>
          <w:rFonts w:hint="eastAsia" w:ascii="仿宋_GB2312" w:hAnsi="仿宋_GB2312" w:eastAsia="仿宋_GB2312" w:cs="仿宋_GB2312"/>
          <w:b w:val="0"/>
          <w:bCs w:val="0"/>
          <w:i w:val="0"/>
          <w:iCs w:val="0"/>
          <w:smallCaps w:val="0"/>
          <w:strike w:val="0"/>
          <w:sz w:val="32"/>
          <w:szCs w:val="32"/>
        </w:rPr>
        <w:t>2019</w:t>
      </w:r>
      <w:r>
        <w:rPr>
          <w:rFonts w:hint="eastAsia" w:ascii="仿宋_GB2312" w:hAnsi="仿宋_GB2312" w:eastAsia="仿宋_GB2312" w:cs="仿宋_GB2312"/>
          <w:color w:val="000000"/>
          <w:w w:val="100"/>
          <w:position w:val="0"/>
          <w:sz w:val="32"/>
          <w:szCs w:val="32"/>
          <w:lang w:val="zh-CN" w:eastAsia="zh-CN" w:bidi="zh-CN"/>
        </w:rPr>
        <w:t>年办理的</w:t>
      </w:r>
      <w:r>
        <w:rPr>
          <w:rStyle w:val="12"/>
          <w:rFonts w:hint="eastAsia" w:ascii="仿宋_GB2312" w:hAnsi="仿宋_GB2312" w:eastAsia="仿宋_GB2312" w:cs="仿宋_GB2312"/>
          <w:b w:val="0"/>
          <w:bCs w:val="0"/>
          <w:i w:val="0"/>
          <w:iCs w:val="0"/>
          <w:smallCaps w:val="0"/>
          <w:strike w:val="0"/>
          <w:sz w:val="32"/>
          <w:szCs w:val="32"/>
        </w:rPr>
        <w:t>2</w:t>
      </w:r>
      <w:r>
        <w:rPr>
          <w:rFonts w:hint="eastAsia" w:ascii="仿宋_GB2312" w:hAnsi="仿宋_GB2312" w:eastAsia="仿宋_GB2312" w:cs="仿宋_GB2312"/>
          <w:color w:val="000000"/>
          <w:w w:val="100"/>
          <w:position w:val="0"/>
          <w:sz w:val="32"/>
          <w:szCs w:val="32"/>
          <w:lang w:val="zh-CN" w:eastAsia="zh-CN" w:bidi="zh-CN"/>
        </w:rPr>
        <w:t>起行政许可事项均在当天办结。</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left"/>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color w:val="000000"/>
          <w:spacing w:val="0"/>
          <w:w w:val="100"/>
          <w:position w:val="0"/>
          <w:sz w:val="32"/>
          <w:szCs w:val="32"/>
          <w:lang w:val="zh-CN" w:eastAsia="zh-CN" w:bidi="zh-CN"/>
        </w:rPr>
        <w:t>(五）投诉举报和服务对象满意情况。</w:t>
      </w:r>
    </w:p>
    <w:p>
      <w:pPr>
        <w:pStyle w:val="7"/>
        <w:keepNext w:val="0"/>
        <w:keepLines w:val="0"/>
        <w:pageBreakBefore w:val="0"/>
        <w:widowControl w:val="0"/>
        <w:numPr>
          <w:ilvl w:val="0"/>
          <w:numId w:val="0"/>
        </w:numPr>
        <w:shd w:val="clear" w:color="auto" w:fill="auto"/>
        <w:tabs>
          <w:tab w:val="left" w:pos="1194"/>
        </w:tabs>
        <w:kinsoku/>
        <w:wordWrap/>
        <w:overflowPunct/>
        <w:topLinePunct w:val="0"/>
        <w:autoSpaceDE/>
        <w:autoSpaceDN/>
        <w:bidi w:val="0"/>
        <w:adjustRightInd/>
        <w:snapToGrid/>
        <w:spacing w:before="0" w:after="0" w:line="580" w:lineRule="exact"/>
        <w:ind w:right="0" w:rightChars="0" w:firstLine="72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17.</w:t>
      </w:r>
      <w:r>
        <w:rPr>
          <w:rFonts w:hint="eastAsia" w:ascii="仿宋_GB2312" w:hAnsi="仿宋_GB2312" w:eastAsia="仿宋_GB2312" w:cs="仿宋_GB2312"/>
          <w:b/>
          <w:bCs/>
          <w:color w:val="000000"/>
          <w:w w:val="100"/>
          <w:position w:val="0"/>
          <w:sz w:val="32"/>
          <w:szCs w:val="32"/>
          <w:lang w:val="zh-CN" w:eastAsia="zh-CN" w:bidi="zh-CN"/>
        </w:rPr>
        <w:t>政务服务“好差评”情况。</w:t>
      </w:r>
      <w:r>
        <w:rPr>
          <w:rFonts w:hint="eastAsia" w:ascii="仿宋_GB2312" w:hAnsi="仿宋_GB2312" w:eastAsia="仿宋_GB2312" w:cs="仿宋_GB2312"/>
          <w:color w:val="000000"/>
          <w:w w:val="100"/>
          <w:position w:val="0"/>
          <w:sz w:val="32"/>
          <w:szCs w:val="32"/>
          <w:lang w:val="zh-CN" w:eastAsia="zh-CN" w:bidi="zh-CN"/>
        </w:rPr>
        <w:t>2019年我办行政审批服务对象为我办直属事业单位广东年鉴社，满意率100%，无差评。没有实体窗口。无自建政务服务系统。</w:t>
      </w:r>
    </w:p>
    <w:p>
      <w:pPr>
        <w:pStyle w:val="7"/>
        <w:keepNext w:val="0"/>
        <w:keepLines w:val="0"/>
        <w:pageBreakBefore w:val="0"/>
        <w:widowControl w:val="0"/>
        <w:numPr>
          <w:ilvl w:val="0"/>
          <w:numId w:val="0"/>
        </w:numPr>
        <w:shd w:val="clear" w:color="auto" w:fill="auto"/>
        <w:tabs>
          <w:tab w:val="left" w:pos="1215"/>
        </w:tabs>
        <w:kinsoku/>
        <w:wordWrap/>
        <w:overflowPunct/>
        <w:topLinePunct w:val="0"/>
        <w:autoSpaceDE/>
        <w:autoSpaceDN/>
        <w:bidi w:val="0"/>
        <w:adjustRightInd/>
        <w:snapToGrid/>
        <w:spacing w:before="0" w:after="0" w:line="580" w:lineRule="exact"/>
        <w:ind w:right="0" w:rightChars="0" w:firstLine="723"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w w:val="100"/>
          <w:position w:val="0"/>
          <w:sz w:val="32"/>
          <w:szCs w:val="32"/>
          <w:lang w:val="en-US" w:eastAsia="zh-CN" w:bidi="zh-CN"/>
        </w:rPr>
        <w:t>18.</w:t>
      </w:r>
      <w:r>
        <w:rPr>
          <w:rFonts w:hint="eastAsia" w:ascii="仿宋_GB2312" w:hAnsi="仿宋_GB2312" w:eastAsia="仿宋_GB2312" w:cs="仿宋_GB2312"/>
          <w:b/>
          <w:bCs/>
          <w:color w:val="000000"/>
          <w:w w:val="100"/>
          <w:position w:val="0"/>
          <w:sz w:val="32"/>
          <w:szCs w:val="32"/>
          <w:lang w:val="zh-CN" w:eastAsia="zh-CN" w:bidi="zh-CN"/>
        </w:rPr>
        <w:t>咨询、投诉、求助、建议办理情况。</w:t>
      </w:r>
      <w:r>
        <w:rPr>
          <w:rFonts w:hint="eastAsia" w:ascii="仿宋_GB2312" w:hAnsi="仿宋_GB2312" w:eastAsia="仿宋_GB2312" w:cs="仿宋_GB2312"/>
          <w:color w:val="000000"/>
          <w:w w:val="100"/>
          <w:position w:val="0"/>
          <w:sz w:val="32"/>
          <w:szCs w:val="32"/>
          <w:lang w:val="zh-CN" w:eastAsia="zh-CN" w:bidi="zh-CN"/>
        </w:rPr>
        <w:t>2019年政务服务网收到申请审批事项2项，均已按时办结。12345热线、粤省事、粤商通、政务</w:t>
      </w:r>
      <w:r>
        <w:rPr>
          <w:rStyle w:val="10"/>
          <w:rFonts w:hint="eastAsia" w:ascii="仿宋_GB2312" w:hAnsi="仿宋_GB2312" w:eastAsia="仿宋_GB2312" w:cs="仿宋_GB2312"/>
          <w:b w:val="0"/>
          <w:bCs w:val="0"/>
          <w:i w:val="0"/>
          <w:iCs w:val="0"/>
          <w:smallCaps w:val="0"/>
          <w:strike w:val="0"/>
          <w:sz w:val="32"/>
          <w:szCs w:val="32"/>
        </w:rPr>
        <w:t>APP</w:t>
      </w:r>
      <w:r>
        <w:rPr>
          <w:rFonts w:hint="eastAsia" w:ascii="仿宋_GB2312" w:hAnsi="仿宋_GB2312" w:eastAsia="仿宋_GB2312" w:cs="仿宋_GB2312"/>
          <w:color w:val="000000"/>
          <w:w w:val="100"/>
          <w:position w:val="0"/>
          <w:sz w:val="32"/>
          <w:szCs w:val="32"/>
          <w:lang w:val="zh-CN" w:eastAsia="zh-CN" w:bidi="zh-CN"/>
        </w:rPr>
        <w:t>渠道以及其他渠道没有收到咨询、投诉、求助、建议等事项工单。2019年无举报类诉求。</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sz w:val="32"/>
          <w:szCs w:val="32"/>
        </w:rPr>
      </w:pPr>
      <w:r>
        <w:rPr>
          <w:color w:val="000000"/>
          <w:spacing w:val="0"/>
          <w:w w:val="100"/>
          <w:position w:val="0"/>
          <w:sz w:val="32"/>
          <w:szCs w:val="32"/>
          <w:lang w:val="zh-CN" w:eastAsia="zh-CN" w:bidi="zh-CN"/>
        </w:rPr>
        <w:t>二</w:t>
      </w:r>
      <w:r>
        <w:rPr>
          <w:rFonts w:hint="eastAsia" w:ascii="黑体" w:hAnsi="黑体" w:eastAsia="黑体" w:cs="黑体"/>
          <w:color w:val="000000"/>
          <w:spacing w:val="0"/>
          <w:w w:val="100"/>
          <w:position w:val="0"/>
          <w:sz w:val="32"/>
          <w:szCs w:val="32"/>
          <w:lang w:val="zh-CN" w:eastAsia="zh-CN" w:bidi="zh-CN"/>
        </w:rPr>
        <w:t>、存在问题和困难</w:t>
      </w:r>
    </w:p>
    <w:p>
      <w:pPr>
        <w:pStyle w:val="7"/>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80" w:lineRule="exact"/>
        <w:ind w:right="0" w:rightChars="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en-US" w:eastAsia="zh-CN" w:bidi="zh-CN"/>
        </w:rPr>
        <w:t>1.</w:t>
      </w:r>
      <w:r>
        <w:rPr>
          <w:rFonts w:hint="eastAsia" w:ascii="仿宋_GB2312" w:hAnsi="仿宋_GB2312" w:eastAsia="仿宋_GB2312" w:cs="仿宋_GB2312"/>
          <w:color w:val="000000"/>
          <w:w w:val="100"/>
          <w:position w:val="0"/>
          <w:sz w:val="32"/>
          <w:szCs w:val="32"/>
          <w:lang w:val="zh-CN" w:eastAsia="zh-CN" w:bidi="zh-CN"/>
        </w:rPr>
        <w:t>网上办事大厅与信用公不、执法公不等平台系统未完全整合，政务服务与行政执法的事前、事中、事后环节没有形成良好的统筹管理。</w:t>
      </w:r>
    </w:p>
    <w:p>
      <w:pPr>
        <w:pStyle w:val="7"/>
        <w:keepNext w:val="0"/>
        <w:keepLines w:val="0"/>
        <w:pageBreakBefore w:val="0"/>
        <w:widowControl w:val="0"/>
        <w:numPr>
          <w:ilvl w:val="0"/>
          <w:numId w:val="0"/>
        </w:numPr>
        <w:shd w:val="clear" w:color="auto" w:fill="auto"/>
        <w:tabs>
          <w:tab w:val="left" w:pos="1089"/>
        </w:tabs>
        <w:kinsoku/>
        <w:wordWrap/>
        <w:overflowPunct/>
        <w:topLinePunct w:val="0"/>
        <w:autoSpaceDE/>
        <w:autoSpaceDN/>
        <w:bidi w:val="0"/>
        <w:adjustRightInd/>
        <w:snapToGrid/>
        <w:spacing w:before="0" w:after="0" w:line="580" w:lineRule="exact"/>
        <w:ind w:right="0" w:rightChars="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en-US" w:eastAsia="zh-CN" w:bidi="zh-CN"/>
        </w:rPr>
        <w:t>2.</w:t>
      </w:r>
      <w:r>
        <w:rPr>
          <w:rFonts w:hint="eastAsia" w:ascii="仿宋_GB2312" w:hAnsi="仿宋_GB2312" w:eastAsia="仿宋_GB2312" w:cs="仿宋_GB2312"/>
          <w:color w:val="000000"/>
          <w:w w:val="100"/>
          <w:position w:val="0"/>
          <w:sz w:val="32"/>
          <w:szCs w:val="32"/>
          <w:lang w:val="zh-CN" w:eastAsia="zh-CN" w:bidi="zh-CN"/>
        </w:rPr>
        <w:t>工作人员的业务水平有待进一步加强，对有关政策、标准、流程掌握不够熟练、完整。</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zh-CN" w:eastAsia="zh-CN" w:bidi="zh-CN"/>
        </w:rPr>
        <w:t>三、下一步的工作措施及有关意见</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zh-CN" w:eastAsia="zh-CN" w:bidi="zh-CN"/>
        </w:rPr>
        <w:t>2020年，我办将深入贯彻落实中央、国务院和省委、省政府关于政务服务和数字政府改革建设工作部署，进一步做好行政审批和政务服务相关工作。</w:t>
      </w:r>
    </w:p>
    <w:p>
      <w:pPr>
        <w:pStyle w:val="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80" w:lineRule="exact"/>
        <w:ind w:right="0" w:rightChars="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en-US" w:eastAsia="zh-CN" w:bidi="zh-CN"/>
        </w:rPr>
        <w:t>1.</w:t>
      </w:r>
      <w:r>
        <w:rPr>
          <w:rFonts w:hint="eastAsia" w:ascii="仿宋_GB2312" w:hAnsi="仿宋_GB2312" w:eastAsia="仿宋_GB2312" w:cs="仿宋_GB2312"/>
          <w:color w:val="000000"/>
          <w:w w:val="100"/>
          <w:position w:val="0"/>
          <w:sz w:val="32"/>
          <w:szCs w:val="32"/>
          <w:lang w:val="zh-CN" w:eastAsia="zh-CN" w:bidi="zh-CN"/>
        </w:rPr>
        <w:t>深入贯彻落实《广东省2020年政务服务优化工作要点》，进一步做好政务服务事项标准化、推进政务服务流程优化、持续推动政务服务获取便利化、完善政务服务监管机制等工作，确保工作取得实效。</w:t>
      </w:r>
    </w:p>
    <w:p>
      <w:pPr>
        <w:pStyle w:val="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80" w:lineRule="exact"/>
        <w:ind w:right="0" w:rightChars="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en-US" w:eastAsia="zh-CN" w:bidi="zh-CN"/>
        </w:rPr>
        <w:t>2.</w:t>
      </w:r>
      <w:r>
        <w:rPr>
          <w:rFonts w:hint="eastAsia" w:ascii="仿宋_GB2312" w:hAnsi="仿宋_GB2312" w:eastAsia="仿宋_GB2312" w:cs="仿宋_GB2312"/>
          <w:color w:val="000000"/>
          <w:w w:val="100"/>
          <w:position w:val="0"/>
          <w:sz w:val="32"/>
          <w:szCs w:val="32"/>
          <w:lang w:val="zh-CN" w:eastAsia="zh-CN" w:bidi="zh-CN"/>
        </w:rPr>
        <w:t>进一步强化政务服务体系建设。进一步优化地方志公共服务目录和办事指南，持续深化政务公开，加强主动公开意识，继续加强门户网站广东省情网与微信公众号“方志广东”建设，完善有关栏目建设。</w:t>
      </w:r>
    </w:p>
    <w:p>
      <w:pPr>
        <w:pStyle w:val="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80" w:lineRule="exact"/>
        <w:ind w:right="0" w:rightChars="0" w:firstLine="72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w w:val="100"/>
          <w:position w:val="0"/>
          <w:sz w:val="32"/>
          <w:szCs w:val="32"/>
          <w:lang w:val="en-US" w:eastAsia="zh-CN" w:bidi="zh-CN"/>
        </w:rPr>
        <w:t>3.</w:t>
      </w:r>
      <w:r>
        <w:rPr>
          <w:rFonts w:hint="eastAsia" w:ascii="仿宋_GB2312" w:hAnsi="仿宋_GB2312" w:eastAsia="仿宋_GB2312" w:cs="仿宋_GB2312"/>
          <w:color w:val="000000"/>
          <w:w w:val="100"/>
          <w:position w:val="0"/>
          <w:sz w:val="32"/>
          <w:szCs w:val="32"/>
          <w:lang w:val="zh-CN" w:eastAsia="zh-CN" w:bidi="zh-CN"/>
        </w:rPr>
        <w:t>进一步加强业务培训。持续加大对相关业务人员的培训和指导力度，不断提升行政审批工作效能和服务水平，有效提高工作效率和服务质量。</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right="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720" w:firstLineChars="200"/>
        <w:jc w:val="left"/>
        <w:textAlignment w:val="auto"/>
        <w:outlineLvl w:val="9"/>
        <w:rPr>
          <w:rFonts w:hint="eastAsia" w:ascii="仿宋_GB2312" w:hAnsi="仿宋_GB2312" w:eastAsia="仿宋_GB2312" w:cs="仿宋_GB2312"/>
          <w:color w:val="000000"/>
          <w:w w:val="100"/>
          <w:position w:val="0"/>
          <w:sz w:val="32"/>
          <w:szCs w:val="32"/>
          <w:lang w:val="zh-CN" w:eastAsia="zh-CN" w:bidi="zh-CN"/>
        </w:rPr>
      </w:pPr>
    </w:p>
    <w:p>
      <w:pPr>
        <w:rPr>
          <w:color w:val="000000"/>
          <w:spacing w:val="0"/>
          <w:w w:val="100"/>
          <w:position w:val="0"/>
          <w:lang w:val="zh-CN" w:eastAsia="zh-CN" w:bidi="zh-CN"/>
        </w:rPr>
      </w:pPr>
    </w:p>
    <w:p>
      <w:pPr>
        <w:pStyle w:val="8"/>
        <w:keepNext w:val="0"/>
        <w:keepLines w:val="0"/>
        <w:widowControl w:val="0"/>
        <w:shd w:val="clear" w:color="auto" w:fill="auto"/>
        <w:bidi w:val="0"/>
        <w:spacing w:before="0" w:after="364"/>
        <w:ind w:left="0" w:right="0" w:firstLine="0"/>
        <w:jc w:val="left"/>
        <w:rPr>
          <w:color w:val="000000"/>
          <w:spacing w:val="0"/>
          <w:w w:val="100"/>
          <w:position w:val="0"/>
          <w:lang w:val="zh-CN" w:eastAsia="zh-CN" w:bidi="zh-CN"/>
        </w:rPr>
        <w:sectPr>
          <w:footerReference r:id="rId5" w:type="first"/>
          <w:footerReference r:id="rId3" w:type="default"/>
          <w:footerReference r:id="rId4" w:type="even"/>
          <w:pgSz w:w="11900" w:h="16840"/>
          <w:pgMar w:top="1222" w:right="1611" w:bottom="1204" w:left="1487" w:header="0" w:footer="3" w:gutter="0"/>
          <w:pgNumType w:fmt="numberInDash"/>
          <w:cols w:space="720" w:num="1"/>
          <w:titlePg/>
          <w:rtlGutter w:val="0"/>
          <w:docGrid w:linePitch="360" w:charSpace="0"/>
        </w:sectPr>
      </w:pPr>
    </w:p>
    <w:p>
      <w:pPr>
        <w:pStyle w:val="8"/>
        <w:keepNext w:val="0"/>
        <w:keepLines w:val="0"/>
        <w:widowControl w:val="0"/>
        <w:shd w:val="clear" w:color="auto" w:fill="auto"/>
        <w:bidi w:val="0"/>
        <w:spacing w:before="0" w:after="364"/>
        <w:ind w:left="0" w:right="0" w:firstLine="0"/>
        <w:jc w:val="left"/>
      </w:pPr>
      <w:r>
        <w:rPr>
          <w:color w:val="000000"/>
          <w:spacing w:val="0"/>
          <w:w w:val="100"/>
          <w:position w:val="0"/>
          <w:lang w:val="zh-CN" w:eastAsia="zh-CN" w:bidi="zh-CN"/>
        </w:rPr>
        <w:t>附件</w:t>
      </w:r>
    </w:p>
    <w:p>
      <w:pPr>
        <w:pStyle w:val="13"/>
        <w:keepNext/>
        <w:keepLines/>
        <w:widowControl w:val="0"/>
        <w:shd w:val="clear" w:color="auto" w:fill="auto"/>
        <w:bidi w:val="0"/>
        <w:spacing w:before="0" w:after="576" w:line="420" w:lineRule="exact"/>
        <w:ind w:left="0" w:right="0" w:firstLine="0"/>
        <w:jc w:val="left"/>
      </w:pPr>
      <w:bookmarkStart w:id="1" w:name="bookmark3"/>
      <w:r>
        <w:rPr>
          <w:color w:val="000000"/>
          <w:spacing w:val="0"/>
          <w:w w:val="100"/>
          <w:position w:val="0"/>
          <w:lang w:val="zh-CN" w:eastAsia="zh-CN" w:bidi="zh-CN"/>
        </w:rPr>
        <w:t>广东省人民政府地方志办公室2019年度行政审批和政务服务效能情况一览表</w:t>
      </w:r>
      <w:bookmarkEnd w:id="1"/>
    </w:p>
    <w:tbl>
      <w:tblPr>
        <w:tblStyle w:val="6"/>
        <w:tblW w:w="14217" w:type="dxa"/>
        <w:jc w:val="center"/>
        <w:tblInd w:w="0" w:type="dxa"/>
        <w:tblLayout w:type="fixed"/>
        <w:tblCellMar>
          <w:top w:w="0" w:type="dxa"/>
          <w:left w:w="10" w:type="dxa"/>
          <w:bottom w:w="0" w:type="dxa"/>
          <w:right w:w="10" w:type="dxa"/>
        </w:tblCellMar>
      </w:tblPr>
      <w:tblGrid>
        <w:gridCol w:w="1022"/>
        <w:gridCol w:w="1008"/>
        <w:gridCol w:w="583"/>
        <w:gridCol w:w="583"/>
        <w:gridCol w:w="1238"/>
        <w:gridCol w:w="1577"/>
        <w:gridCol w:w="374"/>
        <w:gridCol w:w="1958"/>
        <w:gridCol w:w="374"/>
        <w:gridCol w:w="814"/>
        <w:gridCol w:w="367"/>
        <w:gridCol w:w="1210"/>
        <w:gridCol w:w="374"/>
        <w:gridCol w:w="878"/>
        <w:gridCol w:w="619"/>
        <w:gridCol w:w="1238"/>
      </w:tblGrid>
      <w:tr>
        <w:tblPrEx>
          <w:tblLayout w:type="fixed"/>
          <w:tblCellMar>
            <w:top w:w="0" w:type="dxa"/>
            <w:left w:w="10" w:type="dxa"/>
            <w:bottom w:w="0" w:type="dxa"/>
            <w:right w:w="10" w:type="dxa"/>
          </w:tblCellMar>
        </w:tblPrEx>
        <w:trPr>
          <w:trHeight w:val="1022" w:hRule="exact"/>
          <w:jc w:val="center"/>
        </w:trPr>
        <w:tc>
          <w:tcPr>
            <w:tcW w:w="1022" w:type="dxa"/>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转变政府职能深化行政审批改革落实情况</w:t>
            </w:r>
          </w:p>
        </w:tc>
        <w:tc>
          <w:tcPr>
            <w:tcW w:w="7695" w:type="dxa"/>
            <w:gridSpan w:val="8"/>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2019年省本级取消、下放行政许可事项落实行政许可事项标准实施</w:t>
            </w:r>
          </w:p>
        </w:tc>
        <w:tc>
          <w:tcPr>
            <w:tcW w:w="5500" w:type="dxa"/>
            <w:gridSpan w:val="7"/>
            <w:tcBorders>
              <w:top w:val="single" w:color="auto" w:sz="4" w:space="0"/>
              <w:left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行政审批中介服务改革</w:t>
            </w:r>
          </w:p>
        </w:tc>
      </w:tr>
      <w:tr>
        <w:tblPrEx>
          <w:tblLayout w:type="fixed"/>
          <w:tblCellMar>
            <w:top w:w="0" w:type="dxa"/>
            <w:left w:w="10" w:type="dxa"/>
            <w:bottom w:w="0" w:type="dxa"/>
            <w:right w:w="10" w:type="dxa"/>
          </w:tblCellMar>
        </w:tblPrEx>
        <w:trPr>
          <w:trHeight w:val="1246" w:hRule="exact"/>
          <w:jc w:val="center"/>
        </w:trPr>
        <w:tc>
          <w:tcPr>
            <w:tcW w:w="1022" w:type="dxa"/>
            <w:vMerge w:val="continue"/>
            <w:tcBorders>
              <w:left w:val="single" w:color="auto" w:sz="4" w:space="0"/>
            </w:tcBorders>
            <w:shd w:val="clear" w:color="auto" w:fill="FFFFFF"/>
            <w:vAlign w:val="center"/>
          </w:tcPr>
          <w:p>
            <w:pPr>
              <w:framePr w:w="14220" w:wrap="notBeside" w:vAnchor="text" w:hAnchor="text" w:xAlign="center" w:y="1"/>
            </w:pPr>
          </w:p>
        </w:tc>
        <w:tc>
          <w:tcPr>
            <w:tcW w:w="1591" w:type="dxa"/>
            <w:gridSpan w:val="2"/>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left"/>
            </w:pPr>
            <w:r>
              <w:rPr>
                <w:rStyle w:val="14"/>
                <w:b w:val="0"/>
                <w:bCs w:val="0"/>
                <w:i w:val="0"/>
                <w:iCs w:val="0"/>
                <w:smallCaps w:val="0"/>
                <w:strike w:val="0"/>
              </w:rPr>
              <w:t>委托下放事项数</w:t>
            </w:r>
          </w:p>
        </w:tc>
        <w:tc>
          <w:tcPr>
            <w:tcW w:w="1821" w:type="dxa"/>
            <w:gridSpan w:val="2"/>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300" w:right="0" w:firstLine="0"/>
              <w:jc w:val="left"/>
            </w:pPr>
            <w:r>
              <w:rPr>
                <w:rStyle w:val="14"/>
                <w:b w:val="0"/>
                <w:bCs w:val="0"/>
                <w:i w:val="0"/>
                <w:iCs w:val="0"/>
                <w:smallCaps w:val="0"/>
                <w:strike w:val="0"/>
              </w:rPr>
              <w:t>取消的事项数</w:t>
            </w:r>
          </w:p>
        </w:tc>
        <w:tc>
          <w:tcPr>
            <w:tcW w:w="1951" w:type="dxa"/>
            <w:gridSpan w:val="2"/>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60" w:line="190" w:lineRule="exact"/>
              <w:ind w:left="0" w:right="0" w:firstLine="0"/>
              <w:jc w:val="center"/>
            </w:pPr>
            <w:r>
              <w:rPr>
                <w:rStyle w:val="14"/>
                <w:b w:val="0"/>
                <w:bCs w:val="0"/>
                <w:i w:val="0"/>
                <w:iCs w:val="0"/>
                <w:smallCaps w:val="0"/>
                <w:strike w:val="0"/>
              </w:rPr>
              <w:t>未落实</w:t>
            </w:r>
          </w:p>
          <w:p>
            <w:pPr>
              <w:pStyle w:val="7"/>
              <w:keepNext w:val="0"/>
              <w:keepLines w:val="0"/>
              <w:framePr w:w="14220" w:wrap="notBeside" w:vAnchor="text" w:hAnchor="text" w:xAlign="center" w:y="1"/>
              <w:widowControl w:val="0"/>
              <w:shd w:val="clear" w:color="auto" w:fill="auto"/>
              <w:bidi w:val="0"/>
              <w:spacing w:before="60" w:after="0" w:line="190" w:lineRule="exact"/>
              <w:ind w:left="0" w:right="0" w:firstLine="0"/>
              <w:jc w:val="center"/>
            </w:pPr>
            <w:r>
              <w:rPr>
                <w:rStyle w:val="14"/>
                <w:b w:val="0"/>
                <w:bCs w:val="0"/>
                <w:i w:val="0"/>
                <w:iCs w:val="0"/>
                <w:smallCaps w:val="0"/>
                <w:strike w:val="0"/>
              </w:rPr>
              <w:t>事项数</w:t>
            </w:r>
          </w:p>
        </w:tc>
        <w:tc>
          <w:tcPr>
            <w:tcW w:w="2332" w:type="dxa"/>
            <w:gridSpan w:val="2"/>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未落实原因说明</w:t>
            </w:r>
          </w:p>
        </w:tc>
        <w:tc>
          <w:tcPr>
            <w:tcW w:w="2765" w:type="dxa"/>
            <w:gridSpan w:val="4"/>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74" w:lineRule="exact"/>
              <w:ind w:left="0" w:right="0" w:firstLine="0"/>
              <w:jc w:val="center"/>
            </w:pPr>
            <w:r>
              <w:rPr>
                <w:rStyle w:val="14"/>
                <w:b w:val="0"/>
                <w:bCs w:val="0"/>
                <w:i w:val="0"/>
                <w:iCs w:val="0"/>
                <w:smallCaps w:val="0"/>
                <w:strike w:val="0"/>
              </w:rPr>
              <w:t>2019年保留的行政审批中介服务</w:t>
            </w:r>
          </w:p>
        </w:tc>
        <w:tc>
          <w:tcPr>
            <w:tcW w:w="2735" w:type="dxa"/>
            <w:gridSpan w:val="3"/>
            <w:tcBorders>
              <w:top w:val="single" w:color="auto" w:sz="4" w:space="0"/>
              <w:left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财政性资金项目在网上中介超市选取情况</w:t>
            </w:r>
          </w:p>
        </w:tc>
      </w:tr>
      <w:tr>
        <w:tblPrEx>
          <w:tblLayout w:type="fixed"/>
          <w:tblCellMar>
            <w:top w:w="0" w:type="dxa"/>
            <w:left w:w="10" w:type="dxa"/>
            <w:bottom w:w="0" w:type="dxa"/>
            <w:right w:w="10" w:type="dxa"/>
          </w:tblCellMar>
        </w:tblPrEx>
        <w:trPr>
          <w:trHeight w:val="785" w:hRule="exact"/>
          <w:jc w:val="center"/>
        </w:trPr>
        <w:tc>
          <w:tcPr>
            <w:tcW w:w="1022" w:type="dxa"/>
            <w:vMerge w:val="continue"/>
            <w:tcBorders>
              <w:left w:val="single" w:color="auto" w:sz="4" w:space="0"/>
            </w:tcBorders>
            <w:shd w:val="clear" w:color="auto" w:fill="FFFFFF"/>
            <w:vAlign w:val="center"/>
          </w:tcPr>
          <w:p>
            <w:pPr>
              <w:framePr w:w="14220" w:wrap="notBeside" w:vAnchor="text" w:hAnchor="text" w:xAlign="center" w:y="1"/>
            </w:pPr>
          </w:p>
        </w:tc>
        <w:tc>
          <w:tcPr>
            <w:tcW w:w="1591" w:type="dxa"/>
            <w:gridSpan w:val="2"/>
            <w:vMerge w:val="continue"/>
            <w:tcBorders>
              <w:left w:val="single" w:color="auto" w:sz="4" w:space="0"/>
            </w:tcBorders>
            <w:shd w:val="clear" w:color="auto" w:fill="FFFFFF"/>
            <w:vAlign w:val="center"/>
          </w:tcPr>
          <w:p>
            <w:pPr>
              <w:framePr w:w="14220" w:wrap="notBeside" w:vAnchor="text" w:hAnchor="text" w:xAlign="center" w:y="1"/>
            </w:pPr>
          </w:p>
        </w:tc>
        <w:tc>
          <w:tcPr>
            <w:tcW w:w="1821" w:type="dxa"/>
            <w:gridSpan w:val="2"/>
            <w:vMerge w:val="continue"/>
            <w:tcBorders>
              <w:left w:val="single" w:color="auto" w:sz="4" w:space="0"/>
            </w:tcBorders>
            <w:shd w:val="clear" w:color="auto" w:fill="FFFFFF"/>
            <w:vAlign w:val="center"/>
          </w:tcPr>
          <w:p>
            <w:pPr>
              <w:framePr w:w="14220" w:wrap="notBeside" w:vAnchor="text" w:hAnchor="text" w:xAlign="center" w:y="1"/>
            </w:pPr>
          </w:p>
        </w:tc>
        <w:tc>
          <w:tcPr>
            <w:tcW w:w="1951" w:type="dxa"/>
            <w:gridSpan w:val="2"/>
            <w:vMerge w:val="continue"/>
            <w:tcBorders>
              <w:left w:val="single" w:color="auto" w:sz="4" w:space="0"/>
            </w:tcBorders>
            <w:shd w:val="clear" w:color="auto" w:fill="FFFFFF"/>
            <w:vAlign w:val="center"/>
          </w:tcPr>
          <w:p>
            <w:pPr>
              <w:framePr w:w="14220" w:wrap="notBeside" w:vAnchor="text" w:hAnchor="text" w:xAlign="center" w:y="1"/>
            </w:pPr>
          </w:p>
        </w:tc>
        <w:tc>
          <w:tcPr>
            <w:tcW w:w="2332" w:type="dxa"/>
            <w:gridSpan w:val="2"/>
            <w:vMerge w:val="continue"/>
            <w:tcBorders>
              <w:left w:val="single" w:color="auto" w:sz="4" w:space="0"/>
            </w:tcBorders>
            <w:shd w:val="clear" w:color="auto" w:fill="FFFFFF"/>
            <w:vAlign w:val="center"/>
          </w:tcPr>
          <w:p>
            <w:pPr>
              <w:framePr w:w="14220" w:wrap="notBeside" w:vAnchor="text" w:hAnchor="text" w:xAlign="center" w:y="1"/>
            </w:pPr>
          </w:p>
        </w:tc>
        <w:tc>
          <w:tcPr>
            <w:tcW w:w="1181"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52" w:lineRule="exact"/>
              <w:ind w:left="0" w:right="0" w:firstLine="0"/>
              <w:jc w:val="center"/>
            </w:pPr>
            <w:r>
              <w:rPr>
                <w:rStyle w:val="14"/>
                <w:b w:val="0"/>
                <w:bCs w:val="0"/>
                <w:i w:val="0"/>
                <w:iCs w:val="0"/>
                <w:smallCaps w:val="0"/>
                <w:strike w:val="0"/>
              </w:rPr>
              <w:t>中介服务数量</w:t>
            </w:r>
          </w:p>
        </w:tc>
        <w:tc>
          <w:tcPr>
            <w:tcW w:w="1584" w:type="dxa"/>
            <w:gridSpan w:val="2"/>
            <w:tcBorders>
              <w:top w:val="single" w:color="auto" w:sz="4" w:space="0"/>
              <w:left w:val="single" w:color="auto" w:sz="4" w:space="0"/>
            </w:tcBorders>
            <w:shd w:val="clear" w:color="auto" w:fill="FFFFFF"/>
            <w:vAlign w:val="bottom"/>
          </w:tcPr>
          <w:p>
            <w:pPr>
              <w:pStyle w:val="7"/>
              <w:keepNext w:val="0"/>
              <w:keepLines w:val="0"/>
              <w:framePr w:w="14220"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在网上中介服务超市更新事项要素的数量</w:t>
            </w:r>
          </w:p>
        </w:tc>
        <w:tc>
          <w:tcPr>
            <w:tcW w:w="1497"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340" w:right="0" w:firstLine="0"/>
              <w:jc w:val="left"/>
            </w:pPr>
            <w:r>
              <w:rPr>
                <w:rStyle w:val="14"/>
                <w:b w:val="0"/>
                <w:bCs w:val="0"/>
                <w:i w:val="0"/>
                <w:iCs w:val="0"/>
                <w:smallCaps w:val="0"/>
                <w:strike w:val="0"/>
              </w:rPr>
              <w:t>项目数量</w:t>
            </w:r>
          </w:p>
        </w:tc>
        <w:tc>
          <w:tcPr>
            <w:tcW w:w="1238"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200" w:right="0" w:firstLine="0"/>
              <w:jc w:val="left"/>
            </w:pPr>
            <w:r>
              <w:rPr>
                <w:rStyle w:val="14"/>
                <w:b w:val="0"/>
                <w:bCs w:val="0"/>
                <w:i w:val="0"/>
                <w:iCs w:val="0"/>
                <w:smallCaps w:val="0"/>
                <w:strike w:val="0"/>
              </w:rPr>
              <w:t>项目金额</w:t>
            </w:r>
          </w:p>
        </w:tc>
      </w:tr>
      <w:tr>
        <w:tblPrEx>
          <w:tblLayout w:type="fixed"/>
          <w:tblCellMar>
            <w:top w:w="0" w:type="dxa"/>
            <w:left w:w="10" w:type="dxa"/>
            <w:bottom w:w="0" w:type="dxa"/>
            <w:right w:w="10" w:type="dxa"/>
          </w:tblCellMar>
        </w:tblPrEx>
        <w:trPr>
          <w:trHeight w:val="576" w:hRule="exact"/>
          <w:jc w:val="center"/>
        </w:trPr>
        <w:tc>
          <w:tcPr>
            <w:tcW w:w="1022" w:type="dxa"/>
            <w:vMerge w:val="continue"/>
            <w:tcBorders>
              <w:left w:val="single" w:color="auto" w:sz="4" w:space="0"/>
              <w:bottom w:val="single" w:color="auto" w:sz="4" w:space="0"/>
            </w:tcBorders>
            <w:shd w:val="clear" w:color="auto" w:fill="FFFFFF"/>
            <w:vAlign w:val="center"/>
          </w:tcPr>
          <w:p>
            <w:pPr>
              <w:framePr w:w="14220" w:wrap="notBeside" w:vAnchor="text" w:hAnchor="text" w:xAlign="center" w:y="1"/>
            </w:pPr>
          </w:p>
        </w:tc>
        <w:tc>
          <w:tcPr>
            <w:tcW w:w="159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82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95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2332"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rPr>
              <w:t>_</w:t>
            </w:r>
          </w:p>
        </w:tc>
        <w:tc>
          <w:tcPr>
            <w:tcW w:w="1181"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84"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497"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3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r>
      <w:tr>
        <w:tblPrEx>
          <w:tblLayout w:type="fixed"/>
          <w:tblCellMar>
            <w:top w:w="0" w:type="dxa"/>
            <w:left w:w="10" w:type="dxa"/>
            <w:bottom w:w="0" w:type="dxa"/>
            <w:right w:w="10" w:type="dxa"/>
          </w:tblCellMar>
        </w:tblPrEx>
        <w:trPr>
          <w:trHeight w:val="583" w:hRule="exact"/>
          <w:jc w:val="center"/>
        </w:trPr>
        <w:tc>
          <w:tcPr>
            <w:tcW w:w="1022" w:type="dxa"/>
            <w:vMerge w:val="restart"/>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行政许可事项实施情况</w:t>
            </w:r>
          </w:p>
        </w:tc>
        <w:tc>
          <w:tcPr>
            <w:tcW w:w="3412" w:type="dxa"/>
            <w:gridSpan w:val="4"/>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不予受理或不予批准</w:t>
            </w:r>
          </w:p>
        </w:tc>
        <w:tc>
          <w:tcPr>
            <w:tcW w:w="3909" w:type="dxa"/>
            <w:gridSpan w:val="3"/>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到现场跑动次数超过3次</w:t>
            </w:r>
          </w:p>
        </w:tc>
        <w:tc>
          <w:tcPr>
            <w:tcW w:w="2765" w:type="dxa"/>
            <w:gridSpan w:val="4"/>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340" w:right="0" w:firstLine="0"/>
              <w:jc w:val="left"/>
            </w:pPr>
            <w:r>
              <w:rPr>
                <w:rStyle w:val="14"/>
                <w:b w:val="0"/>
                <w:bCs w:val="0"/>
                <w:i w:val="0"/>
                <w:iCs w:val="0"/>
                <w:smallCaps w:val="0"/>
                <w:strike w:val="0"/>
              </w:rPr>
              <w:t>未实现网上全流程办理</w:t>
            </w:r>
          </w:p>
        </w:tc>
        <w:tc>
          <w:tcPr>
            <w:tcW w:w="3109" w:type="dxa"/>
            <w:gridSpan w:val="4"/>
            <w:tcBorders>
              <w:top w:val="single" w:color="auto" w:sz="4" w:space="0"/>
              <w:left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left"/>
            </w:pPr>
            <w:r>
              <w:rPr>
                <w:rStyle w:val="14"/>
                <w:b w:val="0"/>
                <w:bCs w:val="0"/>
                <w:i w:val="0"/>
                <w:iCs w:val="0"/>
                <w:smallCaps w:val="0"/>
                <w:strike w:val="0"/>
              </w:rPr>
              <w:t>未公开公示办事指南和审批结果</w:t>
            </w:r>
          </w:p>
        </w:tc>
      </w:tr>
      <w:tr>
        <w:tblPrEx>
          <w:tblLayout w:type="fixed"/>
          <w:tblCellMar>
            <w:top w:w="0" w:type="dxa"/>
            <w:left w:w="10" w:type="dxa"/>
            <w:bottom w:w="0" w:type="dxa"/>
            <w:right w:w="10" w:type="dxa"/>
          </w:tblCellMar>
        </w:tblPrEx>
        <w:trPr>
          <w:trHeight w:val="576" w:hRule="exact"/>
          <w:jc w:val="center"/>
        </w:trPr>
        <w:tc>
          <w:tcPr>
            <w:tcW w:w="1022" w:type="dxa"/>
            <w:vMerge w:val="continue"/>
            <w:tcBorders>
              <w:left w:val="single" w:color="auto" w:sz="4" w:space="0"/>
            </w:tcBorders>
            <w:shd w:val="clear" w:color="auto" w:fill="FFFFFF"/>
            <w:vAlign w:val="center"/>
          </w:tcPr>
          <w:p>
            <w:pPr>
              <w:framePr w:w="14220" w:wrap="notBeside" w:vAnchor="text" w:hAnchor="text" w:xAlign="center" w:y="1"/>
            </w:pPr>
          </w:p>
        </w:tc>
        <w:tc>
          <w:tcPr>
            <w:tcW w:w="1008" w:type="dxa"/>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200" w:right="0" w:firstLine="0"/>
              <w:jc w:val="left"/>
            </w:pPr>
            <w:r>
              <w:rPr>
                <w:rStyle w:val="14"/>
                <w:b w:val="0"/>
                <w:bCs w:val="0"/>
                <w:i w:val="0"/>
                <w:iCs w:val="0"/>
                <w:smallCaps w:val="0"/>
                <w:strike w:val="0"/>
              </w:rPr>
              <w:t>事项数</w:t>
            </w:r>
          </w:p>
        </w:tc>
        <w:tc>
          <w:tcPr>
            <w:tcW w:w="1166"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380" w:right="0" w:firstLine="0"/>
              <w:jc w:val="left"/>
            </w:pPr>
            <w:r>
              <w:rPr>
                <w:rStyle w:val="14"/>
                <w:b w:val="0"/>
                <w:bCs w:val="0"/>
                <w:i w:val="0"/>
                <w:iCs w:val="0"/>
                <w:smallCaps w:val="0"/>
                <w:strike w:val="0"/>
              </w:rPr>
              <w:t>件数</w:t>
            </w:r>
          </w:p>
        </w:tc>
        <w:tc>
          <w:tcPr>
            <w:tcW w:w="1238" w:type="dxa"/>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200" w:right="0" w:firstLine="0"/>
              <w:jc w:val="left"/>
            </w:pPr>
            <w:r>
              <w:rPr>
                <w:rStyle w:val="14"/>
                <w:b w:val="0"/>
                <w:bCs w:val="0"/>
                <w:i w:val="0"/>
                <w:iCs w:val="0"/>
                <w:smallCaps w:val="0"/>
                <w:strike w:val="0"/>
              </w:rPr>
              <w:t>原因说明</w:t>
            </w:r>
          </w:p>
        </w:tc>
        <w:tc>
          <w:tcPr>
            <w:tcW w:w="1577" w:type="dxa"/>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事项数</w:t>
            </w:r>
          </w:p>
        </w:tc>
        <w:tc>
          <w:tcPr>
            <w:tcW w:w="2332"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原因说明</w:t>
            </w:r>
          </w:p>
        </w:tc>
        <w:tc>
          <w:tcPr>
            <w:tcW w:w="1188"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280" w:right="0" w:firstLine="0"/>
              <w:jc w:val="left"/>
            </w:pPr>
            <w:r>
              <w:rPr>
                <w:rStyle w:val="14"/>
                <w:b w:val="0"/>
                <w:bCs w:val="0"/>
                <w:i w:val="0"/>
                <w:iCs w:val="0"/>
                <w:smallCaps w:val="0"/>
                <w:strike w:val="0"/>
              </w:rPr>
              <w:t>事项数</w:t>
            </w:r>
          </w:p>
        </w:tc>
        <w:tc>
          <w:tcPr>
            <w:tcW w:w="1577"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原因说明</w:t>
            </w:r>
          </w:p>
        </w:tc>
        <w:tc>
          <w:tcPr>
            <w:tcW w:w="1252" w:type="dxa"/>
            <w:gridSpan w:val="2"/>
            <w:tcBorders>
              <w:top w:val="single" w:color="auto" w:sz="4" w:space="0"/>
              <w:lef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320" w:right="0" w:firstLine="0"/>
              <w:jc w:val="left"/>
            </w:pPr>
            <w:r>
              <w:rPr>
                <w:rStyle w:val="14"/>
                <w:b w:val="0"/>
                <w:bCs w:val="0"/>
                <w:i w:val="0"/>
                <w:iCs w:val="0"/>
                <w:smallCaps w:val="0"/>
                <w:strike w:val="0"/>
              </w:rPr>
              <w:t>事项数</w:t>
            </w:r>
          </w:p>
        </w:tc>
        <w:tc>
          <w:tcPr>
            <w:tcW w:w="1857" w:type="dxa"/>
            <w:gridSpan w:val="2"/>
            <w:tcBorders>
              <w:top w:val="single" w:color="auto" w:sz="4" w:space="0"/>
              <w:left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原因说明</w:t>
            </w:r>
          </w:p>
        </w:tc>
      </w:tr>
      <w:tr>
        <w:tblPrEx>
          <w:tblLayout w:type="fixed"/>
          <w:tblCellMar>
            <w:top w:w="0" w:type="dxa"/>
            <w:left w:w="10" w:type="dxa"/>
            <w:bottom w:w="0" w:type="dxa"/>
            <w:right w:w="10" w:type="dxa"/>
          </w:tblCellMar>
        </w:tblPrEx>
        <w:trPr>
          <w:trHeight w:val="583" w:hRule="exact"/>
          <w:jc w:val="center"/>
        </w:trPr>
        <w:tc>
          <w:tcPr>
            <w:tcW w:w="1022" w:type="dxa"/>
            <w:vMerge w:val="continue"/>
            <w:tcBorders>
              <w:left w:val="single" w:color="auto" w:sz="4" w:space="0"/>
              <w:bottom w:val="single" w:color="auto" w:sz="4" w:space="0"/>
            </w:tcBorders>
            <w:shd w:val="clear" w:color="auto" w:fill="FFFFFF"/>
            <w:vAlign w:val="center"/>
          </w:tcPr>
          <w:p>
            <w:pPr>
              <w:framePr w:w="14220" w:wrap="notBeside" w:vAnchor="text" w:hAnchor="text" w:xAlign="center" w:y="1"/>
            </w:pPr>
          </w:p>
        </w:tc>
        <w:tc>
          <w:tcPr>
            <w:tcW w:w="1008"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66"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38"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lang w:val="en-US" w:eastAsia="en-US" w:bidi="en-US"/>
              </w:rPr>
              <w:t>—</w:t>
            </w:r>
          </w:p>
        </w:tc>
        <w:tc>
          <w:tcPr>
            <w:tcW w:w="1577"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2332"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rPr>
              <w:t>_</w:t>
            </w:r>
          </w:p>
        </w:tc>
        <w:tc>
          <w:tcPr>
            <w:tcW w:w="1188"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77"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lang w:val="en-US" w:eastAsia="en-US" w:bidi="en-US"/>
              </w:rPr>
              <w:t>—</w:t>
            </w:r>
          </w:p>
        </w:tc>
        <w:tc>
          <w:tcPr>
            <w:tcW w:w="1252" w:type="dxa"/>
            <w:gridSpan w:val="2"/>
            <w:tcBorders>
              <w:top w:val="single" w:color="auto" w:sz="4" w:space="0"/>
              <w:left w:val="single" w:color="auto" w:sz="4" w:space="0"/>
              <w:bottom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85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framePr w:w="14220"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rPr>
              <w:t>_</w:t>
            </w:r>
          </w:p>
        </w:tc>
      </w:tr>
    </w:tbl>
    <w:p>
      <w:pPr>
        <w:framePr w:w="14220" w:wrap="notBeside" w:vAnchor="text" w:hAnchor="text" w:xAlign="center" w:y="1"/>
        <w:widowControl w:val="0"/>
        <w:rPr>
          <w:sz w:val="2"/>
          <w:szCs w:val="2"/>
        </w:rPr>
      </w:pPr>
    </w:p>
    <w:p>
      <w:pPr>
        <w:widowControl w:val="0"/>
        <w:rPr>
          <w:sz w:val="2"/>
          <w:szCs w:val="2"/>
        </w:rPr>
      </w:pPr>
    </w:p>
    <w:tbl>
      <w:tblPr>
        <w:tblStyle w:val="6"/>
        <w:tblW w:w="14191" w:type="dxa"/>
        <w:jc w:val="center"/>
        <w:tblInd w:w="0" w:type="dxa"/>
        <w:tblLayout w:type="fixed"/>
        <w:tblCellMar>
          <w:top w:w="0" w:type="dxa"/>
          <w:left w:w="10" w:type="dxa"/>
          <w:bottom w:w="0" w:type="dxa"/>
          <w:right w:w="10" w:type="dxa"/>
        </w:tblCellMar>
      </w:tblPr>
      <w:tblGrid>
        <w:gridCol w:w="1030"/>
        <w:gridCol w:w="1008"/>
        <w:gridCol w:w="1159"/>
        <w:gridCol w:w="1238"/>
        <w:gridCol w:w="1570"/>
        <w:gridCol w:w="1274"/>
        <w:gridCol w:w="1058"/>
        <w:gridCol w:w="1174"/>
        <w:gridCol w:w="1577"/>
        <w:gridCol w:w="1253"/>
        <w:gridCol w:w="1850"/>
      </w:tblGrid>
      <w:tr>
        <w:tblPrEx>
          <w:tblLayout w:type="fixed"/>
          <w:tblCellMar>
            <w:top w:w="0" w:type="dxa"/>
            <w:left w:w="10" w:type="dxa"/>
            <w:bottom w:w="0" w:type="dxa"/>
            <w:right w:w="10" w:type="dxa"/>
          </w:tblCellMar>
        </w:tblPrEx>
        <w:trPr>
          <w:trHeight w:val="1368" w:hRule="exact"/>
          <w:jc w:val="center"/>
        </w:trPr>
        <w:tc>
          <w:tcPr>
            <w:tcW w:w="1030" w:type="dxa"/>
            <w:vMerge w:val="restart"/>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建立健全监管制度机制情况</w:t>
            </w:r>
          </w:p>
        </w:tc>
        <w:tc>
          <w:tcPr>
            <w:tcW w:w="100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2019年建立监管制度、标准数量</w:t>
            </w:r>
          </w:p>
        </w:tc>
        <w:tc>
          <w:tcPr>
            <w:tcW w:w="1159"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新制度有效实施的数量</w:t>
            </w:r>
          </w:p>
        </w:tc>
        <w:tc>
          <w:tcPr>
            <w:tcW w:w="123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新监管制度涉及事项数</w:t>
            </w:r>
          </w:p>
        </w:tc>
        <w:tc>
          <w:tcPr>
            <w:tcW w:w="1570"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部门所有监管制度、标准数量</w:t>
            </w:r>
          </w:p>
        </w:tc>
        <w:tc>
          <w:tcPr>
            <w:tcW w:w="2332" w:type="dxa"/>
            <w:gridSpan w:val="2"/>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所有监管制度、标准总数及涉及的事项数</w:t>
            </w:r>
          </w:p>
        </w:tc>
        <w:tc>
          <w:tcPr>
            <w:tcW w:w="1174" w:type="dxa"/>
            <w:tcBorders>
              <w:top w:val="single" w:color="auto" w:sz="4" w:space="0"/>
              <w:left w:val="single" w:color="auto" w:sz="4" w:space="0"/>
            </w:tcBorders>
            <w:shd w:val="clear" w:color="auto" w:fill="FFFFFF"/>
            <w:vAlign w:val="bottom"/>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开展事中事后监管的重点内容（涉及事项、内容）</w:t>
            </w:r>
          </w:p>
        </w:tc>
        <w:tc>
          <w:tcPr>
            <w:tcW w:w="1577"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年度抽查计划情况</w:t>
            </w:r>
          </w:p>
        </w:tc>
        <w:tc>
          <w:tcPr>
            <w:tcW w:w="1253"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开展联合抽查的事项名称</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开展联合抽查的事项数量</w:t>
            </w:r>
          </w:p>
        </w:tc>
      </w:tr>
      <w:tr>
        <w:tblPrEx>
          <w:tblLayout w:type="fixed"/>
          <w:tblCellMar>
            <w:top w:w="0" w:type="dxa"/>
            <w:left w:w="10" w:type="dxa"/>
            <w:bottom w:w="0" w:type="dxa"/>
            <w:right w:w="10" w:type="dxa"/>
          </w:tblCellMar>
        </w:tblPrEx>
        <w:trPr>
          <w:trHeight w:val="1051" w:hRule="exact"/>
          <w:jc w:val="center"/>
        </w:trPr>
        <w:tc>
          <w:tcPr>
            <w:tcW w:w="1030" w:type="dxa"/>
            <w:vMerge w:val="continue"/>
            <w:tcBorders>
              <w:left w:val="single" w:color="auto" w:sz="4" w:space="0"/>
            </w:tcBorders>
            <w:shd w:val="clear" w:color="auto" w:fill="FFFFFF"/>
            <w:vAlign w:val="center"/>
          </w:tcPr>
          <w:p>
            <w:pPr>
              <w:framePr w:w="14191" w:wrap="notBeside" w:vAnchor="text" w:hAnchor="text" w:xAlign="center" w:y="1"/>
            </w:pPr>
          </w:p>
        </w:tc>
        <w:tc>
          <w:tcPr>
            <w:tcW w:w="100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59"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3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70"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6</w:t>
            </w:r>
          </w:p>
        </w:tc>
        <w:tc>
          <w:tcPr>
            <w:tcW w:w="2332" w:type="dxa"/>
            <w:gridSpan w:val="2"/>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2</w:t>
            </w:r>
          </w:p>
        </w:tc>
        <w:tc>
          <w:tcPr>
            <w:tcW w:w="1174" w:type="dxa"/>
            <w:tcBorders>
              <w:top w:val="single" w:color="auto" w:sz="4" w:space="0"/>
              <w:left w:val="single" w:color="auto" w:sz="4" w:space="0"/>
            </w:tcBorders>
            <w:shd w:val="clear" w:color="auto" w:fill="FFFFFF"/>
            <w:vAlign w:val="top"/>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年鉴冠名出版许可、年鉴编撰出版许可</w:t>
            </w:r>
          </w:p>
        </w:tc>
        <w:tc>
          <w:tcPr>
            <w:tcW w:w="1577" w:type="dxa"/>
            <w:tcBorders>
              <w:top w:val="single" w:color="auto" w:sz="4" w:space="0"/>
              <w:left w:val="single" w:color="auto" w:sz="4" w:space="0"/>
            </w:tcBorders>
            <w:shd w:val="clear" w:color="auto" w:fill="FFFFFF"/>
            <w:vAlign w:val="top"/>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对年鉴冠名出版许可、年鉴编撰出版许可予以抽查</w:t>
            </w:r>
          </w:p>
        </w:tc>
        <w:tc>
          <w:tcPr>
            <w:tcW w:w="1253"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88" w:lineRule="exact"/>
              <w:ind w:left="0" w:right="0" w:firstLine="0"/>
              <w:jc w:val="center"/>
            </w:pPr>
            <w:r>
              <w:rPr>
                <w:rStyle w:val="15"/>
                <w:b w:val="0"/>
                <w:bCs w:val="0"/>
                <w:i w:val="0"/>
                <w:iCs w:val="0"/>
                <w:smallCaps w:val="0"/>
                <w:strike w:val="0"/>
                <w:lang w:val="en-US" w:eastAsia="en-US" w:bidi="en-US"/>
              </w:rPr>
              <w:t>—</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r>
      <w:tr>
        <w:tblPrEx>
          <w:tblLayout w:type="fixed"/>
          <w:tblCellMar>
            <w:top w:w="0" w:type="dxa"/>
            <w:left w:w="10" w:type="dxa"/>
            <w:bottom w:w="0" w:type="dxa"/>
            <w:right w:w="10" w:type="dxa"/>
          </w:tblCellMar>
        </w:tblPrEx>
        <w:trPr>
          <w:trHeight w:val="1872" w:hRule="exact"/>
          <w:jc w:val="center"/>
        </w:trPr>
        <w:tc>
          <w:tcPr>
            <w:tcW w:w="1030" w:type="dxa"/>
            <w:vMerge w:val="restart"/>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公共服务事项实施情况</w:t>
            </w:r>
          </w:p>
        </w:tc>
        <w:tc>
          <w:tcPr>
            <w:tcW w:w="100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公共服务事项数</w:t>
            </w:r>
          </w:p>
        </w:tc>
        <w:tc>
          <w:tcPr>
            <w:tcW w:w="1159"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300" w:right="0" w:firstLine="0"/>
              <w:jc w:val="left"/>
            </w:pPr>
            <w:r>
              <w:rPr>
                <w:rStyle w:val="14"/>
                <w:b w:val="0"/>
                <w:bCs w:val="0"/>
                <w:i w:val="0"/>
                <w:iCs w:val="0"/>
                <w:smallCaps w:val="0"/>
                <w:strike w:val="0"/>
              </w:rPr>
              <w:t>申请量</w:t>
            </w:r>
          </w:p>
        </w:tc>
        <w:tc>
          <w:tcPr>
            <w:tcW w:w="123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320" w:right="0" w:firstLine="0"/>
              <w:jc w:val="left"/>
            </w:pPr>
            <w:r>
              <w:rPr>
                <w:rStyle w:val="14"/>
                <w:b w:val="0"/>
                <w:bCs w:val="0"/>
                <w:i w:val="0"/>
                <w:iCs w:val="0"/>
                <w:smallCaps w:val="0"/>
                <w:strike w:val="0"/>
              </w:rPr>
              <w:t>办结量</w:t>
            </w:r>
          </w:p>
        </w:tc>
        <w:tc>
          <w:tcPr>
            <w:tcW w:w="1570"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是否梳理编制并公布本部门公共服务事项目录</w:t>
            </w:r>
          </w:p>
        </w:tc>
        <w:tc>
          <w:tcPr>
            <w:tcW w:w="2332" w:type="dxa"/>
            <w:gridSpan w:val="2"/>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制定公开办事指南事项数</w:t>
            </w:r>
          </w:p>
        </w:tc>
        <w:tc>
          <w:tcPr>
            <w:tcW w:w="1174"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驻省政务服务网、粤省事或粤商通的事项数</w:t>
            </w:r>
          </w:p>
        </w:tc>
        <w:tc>
          <w:tcPr>
            <w:tcW w:w="1577"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公共服务事项实现网上全流程办理的事项数</w:t>
            </w:r>
          </w:p>
        </w:tc>
        <w:tc>
          <w:tcPr>
            <w:tcW w:w="1253"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超时办结数量</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到现场办理次数不超过1次的事项数</w:t>
            </w:r>
          </w:p>
        </w:tc>
      </w:tr>
      <w:tr>
        <w:tblPrEx>
          <w:tblLayout w:type="fixed"/>
          <w:tblCellMar>
            <w:top w:w="0" w:type="dxa"/>
            <w:left w:w="10" w:type="dxa"/>
            <w:bottom w:w="0" w:type="dxa"/>
            <w:right w:w="10" w:type="dxa"/>
          </w:tblCellMar>
        </w:tblPrEx>
        <w:trPr>
          <w:trHeight w:val="576" w:hRule="exact"/>
          <w:jc w:val="center"/>
        </w:trPr>
        <w:tc>
          <w:tcPr>
            <w:tcW w:w="1030" w:type="dxa"/>
            <w:vMerge w:val="continue"/>
            <w:tcBorders>
              <w:left w:val="single" w:color="auto" w:sz="4" w:space="0"/>
            </w:tcBorders>
            <w:shd w:val="clear" w:color="auto" w:fill="FFFFFF"/>
            <w:vAlign w:val="center"/>
          </w:tcPr>
          <w:p>
            <w:pPr>
              <w:framePr w:w="14191" w:wrap="notBeside" w:vAnchor="text" w:hAnchor="text" w:xAlign="center" w:y="1"/>
            </w:pPr>
          </w:p>
        </w:tc>
        <w:tc>
          <w:tcPr>
            <w:tcW w:w="100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59"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3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70"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2332" w:type="dxa"/>
            <w:gridSpan w:val="2"/>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74"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77"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53"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r>
      <w:tr>
        <w:tblPrEx>
          <w:tblLayout w:type="fixed"/>
          <w:tblCellMar>
            <w:top w:w="0" w:type="dxa"/>
            <w:left w:w="10" w:type="dxa"/>
            <w:bottom w:w="0" w:type="dxa"/>
            <w:right w:w="10" w:type="dxa"/>
          </w:tblCellMar>
        </w:tblPrEx>
        <w:trPr>
          <w:trHeight w:val="2455" w:hRule="exact"/>
          <w:jc w:val="center"/>
        </w:trPr>
        <w:tc>
          <w:tcPr>
            <w:tcW w:w="1030" w:type="dxa"/>
            <w:vMerge w:val="restart"/>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创新和优化服务情况</w:t>
            </w:r>
          </w:p>
        </w:tc>
        <w:tc>
          <w:tcPr>
            <w:tcW w:w="100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取消各类证明和繁琐手续数量</w:t>
            </w:r>
          </w:p>
        </w:tc>
        <w:tc>
          <w:tcPr>
            <w:tcW w:w="1159"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both"/>
            </w:pPr>
            <w:r>
              <w:rPr>
                <w:rStyle w:val="14"/>
                <w:b w:val="0"/>
                <w:bCs w:val="0"/>
                <w:i w:val="0"/>
                <w:iCs w:val="0"/>
                <w:smallCaps w:val="0"/>
                <w:strike w:val="0"/>
              </w:rPr>
              <w:t>建立内部工作制度数量</w:t>
            </w:r>
          </w:p>
        </w:tc>
        <w:tc>
          <w:tcPr>
            <w:tcW w:w="123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both"/>
            </w:pPr>
            <w:r>
              <w:rPr>
                <w:rStyle w:val="14"/>
                <w:b w:val="0"/>
                <w:bCs w:val="0"/>
                <w:i w:val="0"/>
                <w:iCs w:val="0"/>
                <w:smallCaps w:val="0"/>
                <w:strike w:val="0"/>
              </w:rPr>
              <w:t>推广绿色通道、首席服务官和数字化审图、告知承诺、邮政或快递送达等便利化措施的数量</w:t>
            </w:r>
          </w:p>
        </w:tc>
        <w:tc>
          <w:tcPr>
            <w:tcW w:w="1570"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left"/>
            </w:pPr>
            <w:r>
              <w:rPr>
                <w:rStyle w:val="14"/>
                <w:b w:val="0"/>
                <w:bCs w:val="0"/>
                <w:i w:val="0"/>
                <w:iCs w:val="0"/>
                <w:smallCaps w:val="0"/>
                <w:strike w:val="0"/>
              </w:rPr>
              <w:t>推行预约办理、</w:t>
            </w:r>
          </w:p>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同城通办、异地代办、一对一专办等制度的数量</w:t>
            </w:r>
          </w:p>
        </w:tc>
        <w:tc>
          <w:tcPr>
            <w:tcW w:w="1274"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整合压减办事环节涉及的事项数</w:t>
            </w:r>
          </w:p>
        </w:tc>
        <w:tc>
          <w:tcPr>
            <w:tcW w:w="1058"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整合压减的办事环节数</w:t>
            </w:r>
          </w:p>
        </w:tc>
        <w:tc>
          <w:tcPr>
            <w:tcW w:w="1174"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跨层级事项扁平化办理的事项数</w:t>
            </w:r>
          </w:p>
        </w:tc>
        <w:tc>
          <w:tcPr>
            <w:tcW w:w="1577"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跨部门事项由一个部门牵头实现并联办理的事项数</w:t>
            </w:r>
          </w:p>
        </w:tc>
        <w:tc>
          <w:tcPr>
            <w:tcW w:w="1253" w:type="dxa"/>
            <w:tcBorders>
              <w:top w:val="single" w:color="auto" w:sz="4" w:space="0"/>
              <w:lef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59" w:lineRule="exact"/>
              <w:ind w:left="0" w:right="0" w:firstLine="0"/>
              <w:jc w:val="center"/>
            </w:pPr>
            <w:r>
              <w:rPr>
                <w:rStyle w:val="14"/>
                <w:b w:val="0"/>
                <w:bCs w:val="0"/>
                <w:i w:val="0"/>
                <w:iCs w:val="0"/>
                <w:smallCaps w:val="0"/>
                <w:strike w:val="0"/>
              </w:rPr>
              <w:t>压减办事材料涉及的事项数</w:t>
            </w:r>
          </w:p>
        </w:tc>
        <w:tc>
          <w:tcPr>
            <w:tcW w:w="1850" w:type="dxa"/>
            <w:tcBorders>
              <w:top w:val="single" w:color="auto" w:sz="4" w:space="0"/>
              <w:left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266" w:lineRule="exact"/>
              <w:ind w:left="0" w:right="0" w:firstLine="0"/>
              <w:jc w:val="center"/>
            </w:pPr>
            <w:r>
              <w:rPr>
                <w:rStyle w:val="14"/>
                <w:b w:val="0"/>
                <w:bCs w:val="0"/>
                <w:i w:val="0"/>
                <w:iCs w:val="0"/>
                <w:smallCaps w:val="0"/>
                <w:strike w:val="0"/>
              </w:rPr>
              <w:t>压减的办事材料件数</w:t>
            </w:r>
          </w:p>
        </w:tc>
      </w:tr>
      <w:tr>
        <w:tblPrEx>
          <w:tblLayout w:type="fixed"/>
          <w:tblCellMar>
            <w:top w:w="0" w:type="dxa"/>
            <w:left w:w="10" w:type="dxa"/>
            <w:bottom w:w="0" w:type="dxa"/>
            <w:right w:w="10" w:type="dxa"/>
          </w:tblCellMar>
        </w:tblPrEx>
        <w:trPr>
          <w:trHeight w:val="598" w:hRule="exact"/>
          <w:jc w:val="center"/>
        </w:trPr>
        <w:tc>
          <w:tcPr>
            <w:tcW w:w="1030" w:type="dxa"/>
            <w:vMerge w:val="continue"/>
            <w:tcBorders>
              <w:left w:val="single" w:color="auto" w:sz="4" w:space="0"/>
              <w:bottom w:val="single" w:color="auto" w:sz="4" w:space="0"/>
            </w:tcBorders>
            <w:shd w:val="clear" w:color="auto" w:fill="FFFFFF"/>
            <w:vAlign w:val="center"/>
          </w:tcPr>
          <w:p>
            <w:pPr>
              <w:framePr w:w="14191" w:wrap="notBeside" w:vAnchor="text" w:hAnchor="text" w:xAlign="center" w:y="1"/>
            </w:pPr>
          </w:p>
        </w:tc>
        <w:tc>
          <w:tcPr>
            <w:tcW w:w="1008"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59"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38"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2</w:t>
            </w:r>
          </w:p>
        </w:tc>
        <w:tc>
          <w:tcPr>
            <w:tcW w:w="1570"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74"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058"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174"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577"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253" w:type="dxa"/>
            <w:tcBorders>
              <w:top w:val="single" w:color="auto" w:sz="4" w:space="0"/>
              <w:left w:val="single" w:color="auto" w:sz="4" w:space="0"/>
              <w:bottom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c>
          <w:tcPr>
            <w:tcW w:w="18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keepNext w:val="0"/>
              <w:keepLines w:val="0"/>
              <w:framePr w:w="14191" w:wrap="notBeside" w:vAnchor="text" w:hAnchor="text" w:xAlign="center" w:y="1"/>
              <w:widowControl w:val="0"/>
              <w:shd w:val="clear" w:color="auto" w:fill="auto"/>
              <w:bidi w:val="0"/>
              <w:spacing w:before="0" w:after="0" w:line="190" w:lineRule="exact"/>
              <w:ind w:left="0" w:right="0" w:firstLine="0"/>
              <w:jc w:val="center"/>
            </w:pPr>
            <w:r>
              <w:rPr>
                <w:rStyle w:val="14"/>
                <w:b w:val="0"/>
                <w:bCs w:val="0"/>
                <w:i w:val="0"/>
                <w:iCs w:val="0"/>
                <w:smallCaps w:val="0"/>
                <w:strike w:val="0"/>
              </w:rPr>
              <w:t>0</w:t>
            </w:r>
          </w:p>
        </w:tc>
      </w:tr>
    </w:tbl>
    <w:p>
      <w:pPr>
        <w:framePr w:w="14191" w:wrap="notBeside" w:vAnchor="text" w:hAnchor="text" w:xAlign="center" w:y="1"/>
        <w:widowControl w:val="0"/>
        <w:rPr>
          <w:sz w:val="2"/>
          <w:szCs w:val="2"/>
        </w:rPr>
      </w:pPr>
    </w:p>
    <w:p>
      <w:pPr>
        <w:pStyle w:val="8"/>
        <w:keepNext w:val="0"/>
        <w:keepLines w:val="0"/>
        <w:widowControl w:val="0"/>
        <w:shd w:val="clear" w:color="auto" w:fill="auto"/>
        <w:bidi w:val="0"/>
        <w:spacing w:before="0" w:after="364"/>
        <w:ind w:left="0" w:right="0" w:firstLine="0"/>
        <w:jc w:val="left"/>
        <w:rPr>
          <w:color w:val="000000"/>
          <w:spacing w:val="0"/>
          <w:w w:val="100"/>
          <w:position w:val="0"/>
          <w:lang w:val="zh-CN" w:eastAsia="zh-CN" w:bidi="zh-CN"/>
        </w:rPr>
        <w:sectPr>
          <w:pgSz w:w="16840" w:h="11900" w:orient="landscape"/>
          <w:pgMar w:top="1487" w:right="1222" w:bottom="1611" w:left="1204" w:header="0" w:footer="3" w:gutter="0"/>
          <w:pgNumType w:fmt="numberInDash"/>
          <w:cols w:space="720" w:num="1"/>
          <w:titlePg/>
          <w:rtlGutter w:val="0"/>
          <w:docGrid w:linePitch="360" w:charSpace="0"/>
        </w:sectPr>
      </w:pPr>
    </w:p>
    <w:p>
      <w:pPr>
        <w:widowControl w:val="0"/>
        <w:rPr>
          <w:sz w:val="2"/>
          <w:szCs w:val="2"/>
        </w:rPr>
      </w:pPr>
    </w:p>
    <w:p/>
    <w:sectPr>
      <w:pgSz w:w="11900" w:h="16840"/>
      <w:pgMar w:top="1222" w:right="1611" w:bottom="1204" w:left="1487" w:header="0" w:footer="3" w:gutter="0"/>
      <w:pgNumType w:fmt="numberInDash"/>
      <w:cols w:space="72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314572800" behindDoc="0" locked="0" layoutInCell="1" allowOverlap="1">
              <wp:simplePos x="0" y="0"/>
              <wp:positionH relativeFrom="margin">
                <wp:align>inside</wp:align>
              </wp:positionH>
              <wp:positionV relativeFrom="paragraph">
                <wp:posOffset>-247650</wp:posOffset>
              </wp:positionV>
              <wp:extent cx="408305" cy="3790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08305" cy="379095"/>
                      </a:xfrm>
                      <a:prstGeom prst="rect">
                        <a:avLst/>
                      </a:prstGeom>
                      <a:noFill/>
                      <a:ln>
                        <a:noFill/>
                      </a:ln>
                    </wps:spPr>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19.5pt;height:29.85pt;width:32.15pt;mso-position-horizontal:inside;mso-position-horizontal-relative:margin;z-index:314572800;mso-width-relative:page;mso-height-relative:page;" filled="f" stroked="f" coordsize="21600,21600" o:gfxdata="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6wWQydYAAAAGAQAADwAAAAAAAAAB&#10;ACAAAAAiAAAAZHJzL2Rvd25yZXYueG1sUEsBAhQAFAAAAAgAh07iQAaUTtmgAQAAIwMAAA4AAAAA&#10;AAAAAQAgAAAAJQEAAGRycy9lMm9Eb2MueG1sUEsFBgAAAAAGAAYAWQEAADcFAAAAAA==&#10;">
              <v:fill on="f" focussize="0,0"/>
              <v:stroke on="f"/>
              <v:imagedata o:title=""/>
              <o:lock v:ext="edit" aspectratio="f"/>
              <v:textbox inset="0mm,0mm,0mm,0mm">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31457382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3145738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- 2 -</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0" locked="0" layoutInCell="1" allowOverlap="1">
              <wp:simplePos x="0" y="0"/>
              <wp:positionH relativeFrom="margin">
                <wp:posOffset>9525</wp:posOffset>
              </wp:positionH>
              <wp:positionV relativeFrom="page">
                <wp:posOffset>10067290</wp:posOffset>
              </wp:positionV>
              <wp:extent cx="826135" cy="2228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26135" cy="222885"/>
                      </a:xfrm>
                      <a:prstGeom prst="rect">
                        <a:avLst/>
                      </a:prstGeom>
                      <a:noFill/>
                      <a:ln>
                        <a:noFill/>
                      </a:ln>
                    </wps:spPr>
                    <wps:txbx>
                      <w:txbxContent>
                        <w:p>
                          <w:pPr>
                            <w:pStyle w:val="16"/>
                            <w:keepNext w:val="0"/>
                            <w:keepLines w:val="0"/>
                            <w:widowControl w:val="0"/>
                            <w:shd w:val="clear" w:color="auto" w:fill="auto"/>
                            <w:bidi w:val="0"/>
                            <w:spacing w:before="0" w:after="0" w:line="240" w:lineRule="auto"/>
                            <w:ind w:left="0" w:right="0" w:firstLine="0"/>
                            <w:jc w:val="left"/>
                          </w:pPr>
                        </w:p>
                      </w:txbxContent>
                    </wps:txbx>
                    <wps:bodyPr wrap="square" lIns="0" tIns="0" rIns="0" bIns="0" upright="1">
                      <a:noAutofit/>
                    </wps:bodyPr>
                  </wps:wsp>
                </a:graphicData>
              </a:graphic>
            </wp:anchor>
          </w:drawing>
        </mc:Choice>
        <mc:Fallback>
          <w:pict>
            <v:shape id="_x0000_s1026" o:spid="_x0000_s1026" o:spt="202" type="#_x0000_t202" style="position:absolute;left:0pt;margin-left:0.75pt;margin-top:792.7pt;height:17.55pt;width:65.05pt;mso-position-horizontal-relative:margin;mso-position-vertical-relative:page;z-index:314571776;mso-width-relative:page;mso-height-relative:page;" filled="f" stroked="f" coordsize="21600,21600" o:gfxdata="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xhgi9kAAAALAQAADwAAAAAAAAABACAAAAAiAAAAZHJzL2Rvd25yZXYueG1sUEsBAhQAFAAA&#10;AAgAh07iQEFh45m1AQAASwMAAA4AAAAAAAAAAQAgAAAAKAEAAGRycy9lMm9Eb2MueG1sUEsFBgAA&#10;AAAGAAYAWQEAAE8FAAAAAA==&#10;">
              <v:fill on="f" focussize="0,0"/>
              <v:stroke on="f"/>
              <v:imagedata o:title=""/>
              <o:lock v:ext="edit" aspectratio="f"/>
              <v:textbox inset="0mm,0mm,0mm,0mm">
                <w:txbxContent>
                  <w:p>
                    <w:pPr>
                      <w:pStyle w:val="16"/>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30293"/>
    <w:rsid w:val="21DD516F"/>
    <w:rsid w:val="3A130293"/>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paragraph" w:styleId="2">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MSG_EN_FONT_STYLE_NAME_TEMPLATE_ROLE_NUMBER MSG_EN_FONT_STYLE_NAME_BY_ROLE_TEXT 2"/>
    <w:basedOn w:val="1"/>
    <w:link w:val="11"/>
    <w:qFormat/>
    <w:uiPriority w:val="0"/>
    <w:pPr>
      <w:widowControl w:val="0"/>
      <w:shd w:val="clear" w:color="auto" w:fill="FFFFFF"/>
      <w:spacing w:before="560" w:after="300" w:line="280" w:lineRule="exact"/>
      <w:ind w:hanging="1040"/>
    </w:pPr>
    <w:rPr>
      <w:rFonts w:ascii="PMingLiU" w:hAnsi="PMingLiU" w:eastAsia="PMingLiU" w:cs="PMingLiU"/>
      <w:spacing w:val="20"/>
      <w:sz w:val="28"/>
      <w:szCs w:val="28"/>
      <w:u w:val="none"/>
    </w:rPr>
  </w:style>
  <w:style w:type="paragraph" w:customStyle="1" w:styleId="8">
    <w:name w:val="MSG_EN_FONT_STYLE_NAME_TEMPLATE_ROLE_NUMBER MSG_EN_FONT_STYLE_NAME_BY_ROLE_TEXT 3"/>
    <w:basedOn w:val="1"/>
    <w:qFormat/>
    <w:uiPriority w:val="0"/>
    <w:pPr>
      <w:widowControl w:val="0"/>
      <w:shd w:val="clear" w:color="auto" w:fill="FFFFFF"/>
      <w:spacing w:after="880" w:line="300" w:lineRule="exact"/>
    </w:pPr>
    <w:rPr>
      <w:rFonts w:ascii="PMingLiU" w:hAnsi="PMingLiU" w:eastAsia="PMingLiU" w:cs="PMingLiU"/>
      <w:sz w:val="30"/>
      <w:szCs w:val="30"/>
      <w:u w:val="none"/>
    </w:rPr>
  </w:style>
  <w:style w:type="paragraph" w:customStyle="1" w:styleId="9">
    <w:name w:val="MSG_EN_FONT_STYLE_NAME_TEMPLATE_ROLE_NUMBER MSG_EN_FONT_STYLE_NAME_BY_ROLE_TEXT 4"/>
    <w:basedOn w:val="1"/>
    <w:qFormat/>
    <w:uiPriority w:val="0"/>
    <w:pPr>
      <w:widowControl w:val="0"/>
      <w:shd w:val="clear" w:color="auto" w:fill="FFFFFF"/>
      <w:spacing w:line="576" w:lineRule="exact"/>
      <w:jc w:val="distribute"/>
    </w:pPr>
    <w:rPr>
      <w:rFonts w:ascii="PMingLiU" w:hAnsi="PMingLiU" w:eastAsia="PMingLiU" w:cs="PMingLiU"/>
      <w:sz w:val="30"/>
      <w:szCs w:val="30"/>
      <w:u w:val="none"/>
    </w:rPr>
  </w:style>
  <w:style w:type="character" w:customStyle="1" w:styleId="10">
    <w:name w:val="MSG_EN_FONT_STYLE_NAME_TEMPLATE_ROLE_NUMBER MSG_EN_FONT_STYLE_NAME_BY_ROLE_TEXT 2 + MSG_EN_FONT_STYLE_MODIFER_NAME Times New Roman4"/>
    <w:basedOn w:val="11"/>
    <w:qFormat/>
    <w:uiPriority w:val="0"/>
    <w:rPr>
      <w:rFonts w:ascii="Times New Roman" w:hAnsi="Times New Roman" w:eastAsia="Times New Roman" w:cs="Times New Roman"/>
      <w:color w:val="000000"/>
      <w:spacing w:val="0"/>
      <w:w w:val="100"/>
      <w:position w:val="0"/>
      <w:sz w:val="32"/>
      <w:szCs w:val="32"/>
      <w:lang w:val="en-US" w:eastAsia="en-US" w:bidi="en-US"/>
    </w:rPr>
  </w:style>
  <w:style w:type="character" w:customStyle="1" w:styleId="11">
    <w:name w:val="MSG_EN_FONT_STYLE_NAME_TEMPLATE_ROLE_NUMBER MSG_EN_FONT_STYLE_NAME_BY_ROLE_TEXT 2_"/>
    <w:basedOn w:val="5"/>
    <w:link w:val="7"/>
    <w:qFormat/>
    <w:uiPriority w:val="0"/>
    <w:rPr>
      <w:rFonts w:ascii="PMingLiU" w:hAnsi="PMingLiU" w:eastAsia="PMingLiU" w:cs="PMingLiU"/>
      <w:spacing w:val="20"/>
      <w:sz w:val="28"/>
      <w:szCs w:val="28"/>
      <w:u w:val="none"/>
    </w:rPr>
  </w:style>
  <w:style w:type="character" w:customStyle="1" w:styleId="12">
    <w:name w:val="MSG_EN_FONT_STYLE_NAME_TEMPLATE_ROLE_NUMBER MSG_EN_FONT_STYLE_NAME_BY_ROLE_TEXT 2 + MSG_EN_FONT_STYLE_MODIFER_NAME Times New Roman5"/>
    <w:basedOn w:val="11"/>
    <w:qFormat/>
    <w:uiPriority w:val="0"/>
    <w:rPr>
      <w:rFonts w:ascii="Times New Roman" w:hAnsi="Times New Roman" w:eastAsia="Times New Roman" w:cs="Times New Roman"/>
      <w:color w:val="000000"/>
      <w:spacing w:val="0"/>
      <w:w w:val="100"/>
      <w:position w:val="0"/>
      <w:sz w:val="30"/>
      <w:szCs w:val="30"/>
      <w:lang w:val="zh-CN" w:eastAsia="zh-CN" w:bidi="zh-CN"/>
    </w:rPr>
  </w:style>
  <w:style w:type="paragraph" w:customStyle="1" w:styleId="13">
    <w:name w:val="MSG_EN_FONT_STYLE_NAME_TEMPLATE_ROLE_LEVEL MSG_EN_FONT_STYLE_NAME_BY_ROLE_HEADING 2"/>
    <w:basedOn w:val="1"/>
    <w:uiPriority w:val="0"/>
    <w:pPr>
      <w:widowControl w:val="0"/>
      <w:shd w:val="clear" w:color="auto" w:fill="FFFFFF"/>
      <w:spacing w:before="560" w:after="560" w:line="598" w:lineRule="exact"/>
      <w:jc w:val="center"/>
      <w:outlineLvl w:val="1"/>
    </w:pPr>
    <w:rPr>
      <w:rFonts w:ascii="PMingLiU" w:hAnsi="PMingLiU" w:eastAsia="PMingLiU" w:cs="PMingLiU"/>
      <w:sz w:val="42"/>
      <w:szCs w:val="42"/>
      <w:u w:val="none"/>
    </w:rPr>
  </w:style>
  <w:style w:type="character" w:customStyle="1" w:styleId="14">
    <w:name w:val="MSG_EN_FONT_STYLE_NAME_TEMPLATE_ROLE_NUMBER MSG_EN_FONT_STYLE_NAME_BY_ROLE_TEXT 2 + MSG_EN_FONT_STYLE_MODIFER_SIZE 9.51"/>
    <w:basedOn w:val="11"/>
    <w:uiPriority w:val="0"/>
    <w:rPr>
      <w:color w:val="000000"/>
      <w:spacing w:val="0"/>
      <w:w w:val="100"/>
      <w:position w:val="0"/>
      <w:sz w:val="19"/>
      <w:szCs w:val="19"/>
      <w:lang w:val="zh-CN" w:eastAsia="zh-CN" w:bidi="zh-CN"/>
    </w:rPr>
  </w:style>
  <w:style w:type="character" w:customStyle="1" w:styleId="15">
    <w:name w:val="MSG_EN_FONT_STYLE_NAME_TEMPLATE_ROLE_NUMBER MSG_EN_FONT_STYLE_NAME_BY_ROLE_TEXT 2 + MSG_EN_FONT_STYLE_MODIFER_NAME Times New Roman9"/>
    <w:basedOn w:val="11"/>
    <w:qFormat/>
    <w:uiPriority w:val="0"/>
    <w:rPr>
      <w:rFonts w:ascii="Times New Roman" w:hAnsi="Times New Roman" w:eastAsia="Times New Roman" w:cs="Times New Roman"/>
      <w:color w:val="000000"/>
      <w:spacing w:val="0"/>
      <w:w w:val="100"/>
      <w:position w:val="0"/>
      <w:sz w:val="8"/>
      <w:szCs w:val="8"/>
      <w:lang w:val="zh-CN" w:eastAsia="zh-CN" w:bidi="zh-CN"/>
    </w:rPr>
  </w:style>
  <w:style w:type="paragraph" w:customStyle="1" w:styleId="16">
    <w:name w:val="MSG_EN_FONT_STYLE_NAME_TEMPLATE_ROLE MSG_EN_FONT_STYLE_NAME_BY_ROLE_RUNNING_TITLE1"/>
    <w:basedOn w:val="1"/>
    <w:link w:val="18"/>
    <w:qFormat/>
    <w:uiPriority w:val="0"/>
    <w:pPr>
      <w:widowControl w:val="0"/>
      <w:shd w:val="clear" w:color="auto" w:fill="FFFFFF"/>
      <w:spacing w:line="310" w:lineRule="exact"/>
    </w:pPr>
    <w:rPr>
      <w:rFonts w:ascii="Courier New" w:hAnsi="Courier New" w:eastAsia="Courier New" w:cs="Courier New"/>
      <w:sz w:val="8"/>
      <w:szCs w:val="8"/>
      <w:u w:val="none"/>
    </w:rPr>
  </w:style>
  <w:style w:type="character" w:customStyle="1" w:styleId="17">
    <w:name w:val="MSG_EN_FONT_STYLE_NAME_TEMPLATE_ROLE MSG_EN_FONT_STYLE_NAME_BY_ROLE_RUNNING_TITLE + MSG_EN_FONT_STYLE_MODIFER_NAME Times New Roman1"/>
    <w:basedOn w:val="18"/>
    <w:qFormat/>
    <w:uiPriority w:val="0"/>
    <w:rPr>
      <w:rFonts w:ascii="Times New Roman" w:hAnsi="Times New Roman" w:eastAsia="Times New Roman" w:cs="Times New Roman"/>
      <w:color w:val="000000"/>
      <w:spacing w:val="80"/>
      <w:w w:val="100"/>
      <w:position w:val="0"/>
      <w:sz w:val="28"/>
      <w:szCs w:val="28"/>
      <w:lang w:val="zh-CN" w:eastAsia="zh-CN" w:bidi="zh-CN"/>
    </w:rPr>
  </w:style>
  <w:style w:type="character" w:customStyle="1" w:styleId="18">
    <w:name w:val="MSG_EN_FONT_STYLE_NAME_TEMPLATE_ROLE MSG_EN_FONT_STYLE_NAME_BY_ROLE_RUNNING_TITLE_"/>
    <w:basedOn w:val="5"/>
    <w:link w:val="16"/>
    <w:qFormat/>
    <w:uiPriority w:val="0"/>
    <w:rPr>
      <w:rFonts w:ascii="Courier New" w:hAnsi="Courier New" w:eastAsia="Courier New" w:cs="Courier New"/>
      <w:sz w:val="8"/>
      <w:szCs w:val="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2020-07-07T06:48:00Z</dcterms:created>
  <dc:creator>广东长盈科技股份有限公司</dc:creator>
  <cp:lastModifiedBy>广东长盈科技股份有限公司</cp:lastModifiedBy>
  <dcterms:modified xsi:type="dcterms:W3CDTF">2020-07-07T06:53:21Z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