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360" w:lineRule="auto"/>
        <w:jc w:val="center"/>
        <w:rPr>
          <w:rFonts w:hint="eastAsia" w:ascii="方正小标宋简体" w:hAnsi="方正小标宋简体" w:eastAsia="方正小标宋简体" w:cs="方正小标宋简体"/>
          <w:b w:val="0"/>
          <w:bCs/>
          <w:sz w:val="42"/>
          <w:szCs w:val="42"/>
          <w:lang w:eastAsia="zh-CN"/>
        </w:rPr>
      </w:pPr>
    </w:p>
    <w:p>
      <w:pPr>
        <w:tabs>
          <w:tab w:val="left" w:pos="420"/>
          <w:tab w:val="left" w:pos="6660"/>
        </w:tabs>
        <w:spacing w:line="360" w:lineRule="auto"/>
        <w:jc w:val="center"/>
        <w:rPr>
          <w:rFonts w:hint="eastAsia" w:ascii="方正小标宋简体" w:hAnsi="方正小标宋简体" w:eastAsia="方正小标宋简体" w:cs="方正小标宋简体"/>
          <w:b w:val="0"/>
          <w:bCs/>
          <w:sz w:val="42"/>
          <w:szCs w:val="42"/>
          <w:lang w:eastAsia="zh-CN"/>
        </w:rPr>
      </w:pPr>
    </w:p>
    <w:p>
      <w:pPr>
        <w:spacing w:line="0" w:lineRule="atLeast"/>
        <w:ind w:left="-141" w:leftChars="-67" w:firstLine="159" w:firstLineChars="38"/>
        <w:jc w:val="center"/>
        <w:rPr>
          <w:rFonts w:hint="eastAsia" w:ascii="方正小标宋简体" w:hAnsi="方正小标宋简体" w:eastAsia="方正小标宋简体" w:cs="方正小标宋简体"/>
          <w:b w:val="0"/>
          <w:bCs/>
          <w:sz w:val="42"/>
          <w:szCs w:val="42"/>
        </w:rPr>
      </w:pPr>
      <w:r>
        <w:rPr>
          <w:rFonts w:hint="eastAsia" w:ascii="方正小标宋简体" w:hAnsi="方正小标宋简体" w:eastAsia="方正小标宋简体" w:cs="方正小标宋简体"/>
          <w:b w:val="0"/>
          <w:bCs/>
          <w:color w:val="333333"/>
          <w:kern w:val="2"/>
          <w:sz w:val="42"/>
          <w:szCs w:val="42"/>
        </w:rPr>
        <w:t>广东省统一身份认证业务规划咨询服务项目</w:t>
      </w:r>
    </w:p>
    <w:p>
      <w:pPr>
        <w:spacing w:line="360" w:lineRule="auto"/>
        <w:rPr>
          <w:rFonts w:hint="eastAsia" w:ascii="方正小标宋简体" w:hAnsi="方正小标宋简体" w:eastAsia="方正小标宋简体" w:cs="方正小标宋简体"/>
          <w:b/>
          <w:szCs w:val="21"/>
        </w:rPr>
      </w:pPr>
    </w:p>
    <w:p>
      <w:pPr>
        <w:tabs>
          <w:tab w:val="left" w:pos="420"/>
          <w:tab w:val="left" w:pos="6660"/>
        </w:tabs>
        <w:spacing w:line="360" w:lineRule="auto"/>
        <w:jc w:val="center"/>
        <w:rPr>
          <w:rFonts w:hint="eastAsia" w:ascii="方正小标宋简体" w:hAnsi="方正小标宋简体" w:eastAsia="方正小标宋简体" w:cs="方正小标宋简体"/>
          <w:b w:val="0"/>
          <w:bCs/>
          <w:sz w:val="48"/>
          <w:szCs w:val="48"/>
        </w:rPr>
      </w:pPr>
      <w:r>
        <w:rPr>
          <w:rFonts w:hint="eastAsia" w:ascii="方正小标宋简体" w:hAnsi="方正小标宋简体" w:eastAsia="方正小标宋简体" w:cs="方正小标宋简体"/>
          <w:b w:val="0"/>
          <w:bCs/>
          <w:sz w:val="48"/>
          <w:szCs w:val="48"/>
          <w:lang w:eastAsia="zh-CN"/>
        </w:rPr>
        <w:t>采购</w:t>
      </w:r>
      <w:r>
        <w:rPr>
          <w:rFonts w:hint="eastAsia" w:ascii="方正小标宋简体" w:hAnsi="方正小标宋简体" w:eastAsia="方正小标宋简体" w:cs="方正小标宋简体"/>
          <w:b w:val="0"/>
          <w:bCs/>
          <w:sz w:val="48"/>
          <w:szCs w:val="48"/>
        </w:rPr>
        <w:t>文件</w:t>
      </w:r>
      <w:bookmarkStart w:id="41" w:name="_GoBack"/>
      <w:bookmarkEnd w:id="41"/>
    </w:p>
    <w:p>
      <w:pPr>
        <w:spacing w:line="360" w:lineRule="auto"/>
        <w:jc w:val="center"/>
        <w:rPr>
          <w:rFonts w:hint="eastAsia" w:ascii="宋体" w:hAnsi="宋体"/>
          <w:bCs/>
          <w:szCs w:val="21"/>
        </w:rPr>
      </w:pPr>
    </w:p>
    <w:p>
      <w:pPr>
        <w:spacing w:line="360" w:lineRule="auto"/>
        <w:jc w:val="center"/>
        <w:rPr>
          <w:rFonts w:hint="eastAsia" w:ascii="宋体" w:hAnsi="宋体"/>
          <w:bCs/>
          <w:szCs w:val="21"/>
        </w:rPr>
      </w:pPr>
    </w:p>
    <w:p>
      <w:pPr>
        <w:spacing w:line="360" w:lineRule="auto"/>
        <w:jc w:val="center"/>
        <w:rPr>
          <w:rFonts w:hint="eastAsia" w:ascii="宋体" w:hAnsi="宋体"/>
          <w:bCs/>
          <w:szCs w:val="21"/>
        </w:rPr>
      </w:pPr>
    </w:p>
    <w:p>
      <w:pPr>
        <w:spacing w:line="360" w:lineRule="auto"/>
        <w:jc w:val="center"/>
        <w:rPr>
          <w:rFonts w:hint="eastAsia" w:ascii="宋体" w:hAnsi="宋体"/>
          <w:bCs/>
          <w:szCs w:val="21"/>
        </w:rPr>
      </w:pPr>
    </w:p>
    <w:p>
      <w:pPr>
        <w:spacing w:line="360" w:lineRule="auto"/>
        <w:jc w:val="center"/>
        <w:rPr>
          <w:rFonts w:hint="eastAsia" w:ascii="宋体" w:hAnsi="宋体"/>
          <w:bCs/>
          <w:szCs w:val="21"/>
        </w:rPr>
      </w:pPr>
    </w:p>
    <w:p>
      <w:pPr>
        <w:spacing w:line="360" w:lineRule="auto"/>
        <w:jc w:val="center"/>
        <w:rPr>
          <w:rFonts w:hint="eastAsia" w:ascii="宋体" w:hAnsi="宋体"/>
          <w:b/>
          <w:bCs/>
          <w:szCs w:val="21"/>
        </w:rPr>
      </w:pPr>
    </w:p>
    <w:p>
      <w:pPr>
        <w:spacing w:line="360" w:lineRule="auto"/>
        <w:jc w:val="center"/>
        <w:rPr>
          <w:rFonts w:hint="eastAsia" w:ascii="宋体" w:hAnsi="宋体"/>
          <w:b/>
          <w:bCs/>
          <w:szCs w:val="21"/>
        </w:rPr>
      </w:pPr>
    </w:p>
    <w:p>
      <w:pPr>
        <w:spacing w:line="360" w:lineRule="auto"/>
        <w:jc w:val="center"/>
        <w:rPr>
          <w:rFonts w:hint="eastAsia" w:ascii="宋体" w:hAnsi="宋体"/>
          <w:b/>
          <w:bCs/>
          <w:szCs w:val="21"/>
        </w:rPr>
      </w:pPr>
    </w:p>
    <w:p>
      <w:pPr>
        <w:spacing w:line="360" w:lineRule="auto"/>
        <w:jc w:val="center"/>
        <w:rPr>
          <w:rFonts w:hint="eastAsia" w:ascii="宋体" w:hAnsi="宋体"/>
          <w:b/>
          <w:bCs/>
          <w:szCs w:val="21"/>
        </w:rPr>
      </w:pPr>
    </w:p>
    <w:p>
      <w:pPr>
        <w:spacing w:line="360" w:lineRule="auto"/>
        <w:jc w:val="center"/>
        <w:rPr>
          <w:rFonts w:hint="eastAsia" w:ascii="宋体" w:hAnsi="宋体"/>
          <w:b/>
          <w:bCs/>
          <w:szCs w:val="21"/>
        </w:rPr>
      </w:pPr>
    </w:p>
    <w:p>
      <w:pPr>
        <w:spacing w:line="360" w:lineRule="auto"/>
        <w:jc w:val="center"/>
        <w:rPr>
          <w:rFonts w:hint="eastAsia" w:ascii="宋体" w:hAnsi="宋体"/>
          <w:b/>
          <w:bCs/>
          <w:szCs w:val="21"/>
        </w:rPr>
      </w:pPr>
    </w:p>
    <w:p>
      <w:pPr>
        <w:spacing w:line="360" w:lineRule="auto"/>
        <w:jc w:val="center"/>
        <w:rPr>
          <w:rFonts w:hint="eastAsia" w:ascii="宋体" w:hAnsi="宋体"/>
          <w:b/>
          <w:bCs/>
          <w:szCs w:val="21"/>
        </w:rPr>
      </w:pPr>
    </w:p>
    <w:p>
      <w:pPr>
        <w:spacing w:line="360" w:lineRule="auto"/>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广东省</w:t>
      </w:r>
      <w:r>
        <w:rPr>
          <w:rFonts w:hint="eastAsia" w:ascii="仿宋_GB2312" w:hAnsi="仿宋_GB2312" w:eastAsia="仿宋_GB2312" w:cs="仿宋_GB2312"/>
          <w:b w:val="0"/>
          <w:bCs w:val="0"/>
          <w:sz w:val="28"/>
          <w:szCs w:val="28"/>
          <w:lang w:val="en-US" w:eastAsia="zh-CN"/>
        </w:rPr>
        <w:t>政务服务数据管理局</w:t>
      </w:r>
    </w:p>
    <w:p>
      <w:pPr>
        <w:spacing w:line="360" w:lineRule="auto"/>
        <w:jc w:val="center"/>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2020年1</w:t>
      </w:r>
      <w:r>
        <w:rPr>
          <w:rFonts w:hint="eastAsia" w:ascii="Times New Roman" w:hAnsi="Times New Roman" w:eastAsia="仿宋_GB2312" w:cs="Times New Roman"/>
          <w:b w:val="0"/>
          <w:bCs w:val="0"/>
          <w:sz w:val="28"/>
          <w:szCs w:val="28"/>
          <w:lang w:val="en-US" w:eastAsia="zh-CN"/>
        </w:rPr>
        <w:t>1</w:t>
      </w:r>
      <w:r>
        <w:rPr>
          <w:rFonts w:hint="default" w:ascii="Times New Roman" w:hAnsi="Times New Roman" w:eastAsia="仿宋_GB2312" w:cs="Times New Roman"/>
          <w:b w:val="0"/>
          <w:bCs w:val="0"/>
          <w:sz w:val="28"/>
          <w:szCs w:val="28"/>
          <w:lang w:val="en-US" w:eastAsia="zh-CN"/>
        </w:rPr>
        <w:t>月</w:t>
      </w:r>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b/>
          <w:szCs w:val="21"/>
        </w:rPr>
        <w:br w:type="page"/>
      </w:r>
    </w:p>
    <w:p>
      <w:pPr>
        <w:spacing w:line="360" w:lineRule="auto"/>
        <w:jc w:val="center"/>
        <w:rPr>
          <w:rFonts w:hint="eastAsia" w:ascii="宋体" w:hAnsi="宋体" w:eastAsia="宋体" w:cs="宋体"/>
          <w:b/>
          <w:kern w:val="0"/>
          <w:sz w:val="28"/>
          <w:szCs w:val="28"/>
        </w:rPr>
      </w:pPr>
      <w:r>
        <w:rPr>
          <w:rFonts w:hint="eastAsia" w:ascii="宋体" w:hAnsi="宋体" w:eastAsia="宋体" w:cs="宋体"/>
          <w:b/>
          <w:kern w:val="0"/>
          <w:sz w:val="28"/>
          <w:szCs w:val="28"/>
        </w:rPr>
        <w:t>第一部分　邀请函</w:t>
      </w:r>
    </w:p>
    <w:p>
      <w:pPr>
        <w:spacing w:line="0" w:lineRule="atLeast"/>
        <w:ind w:left="0" w:leftChars="0" w:firstLine="420" w:firstLineChars="200"/>
        <w:rPr>
          <w:rFonts w:hint="eastAsia" w:ascii="宋体" w:hAnsi="宋体" w:eastAsia="宋体" w:cs="宋体"/>
          <w:szCs w:val="21"/>
        </w:rPr>
      </w:pPr>
      <w:r>
        <w:rPr>
          <w:rFonts w:hint="eastAsia" w:ascii="宋体" w:hAnsi="宋体" w:eastAsia="宋体" w:cs="宋体"/>
          <w:b w:val="0"/>
          <w:bCs w:val="0"/>
          <w:color w:val="333333"/>
          <w:kern w:val="2"/>
          <w:sz w:val="21"/>
          <w:szCs w:val="21"/>
        </w:rPr>
        <w:t>广东省统一身份认证业务规划咨询服务项目</w:t>
      </w:r>
      <w:r>
        <w:rPr>
          <w:rFonts w:hint="eastAsia" w:ascii="宋体" w:hAnsi="宋体" w:eastAsia="宋体" w:cs="宋体"/>
          <w:szCs w:val="21"/>
        </w:rPr>
        <w:t>务项目进行公开</w:t>
      </w:r>
      <w:r>
        <w:rPr>
          <w:rFonts w:hint="eastAsia" w:ascii="宋体" w:hAnsi="宋体" w:eastAsia="宋体" w:cs="宋体"/>
          <w:szCs w:val="21"/>
          <w:lang w:val="en-US" w:eastAsia="zh-CN"/>
        </w:rPr>
        <w:t>遴选</w:t>
      </w:r>
      <w:r>
        <w:rPr>
          <w:rFonts w:hint="eastAsia" w:ascii="宋体" w:hAnsi="宋体" w:eastAsia="宋体" w:cs="宋体"/>
          <w:szCs w:val="21"/>
        </w:rPr>
        <w:t>采购，</w:t>
      </w:r>
      <w:r>
        <w:rPr>
          <w:rFonts w:hint="eastAsia" w:ascii="宋体" w:hAnsi="宋体" w:eastAsia="宋体" w:cs="宋体"/>
          <w:szCs w:val="21"/>
          <w:lang w:val="zh-CN"/>
        </w:rPr>
        <w:t>欢迎符合资格条件</w:t>
      </w:r>
      <w:r>
        <w:rPr>
          <w:rFonts w:hint="eastAsia" w:ascii="宋体" w:hAnsi="宋体" w:eastAsia="宋体" w:cs="宋体"/>
          <w:szCs w:val="21"/>
        </w:rPr>
        <w:t>的供应商参加。</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一</w:t>
      </w:r>
      <w:r>
        <w:rPr>
          <w:rFonts w:hint="eastAsia" w:ascii="宋体" w:hAnsi="宋体" w:eastAsia="宋体" w:cs="宋体"/>
          <w:szCs w:val="21"/>
        </w:rPr>
        <w:t>、采购项目名称：</w:t>
      </w:r>
      <w:r>
        <w:rPr>
          <w:rFonts w:hint="eastAsia" w:ascii="宋体" w:hAnsi="宋体" w:eastAsia="宋体" w:cs="宋体"/>
          <w:b w:val="0"/>
          <w:bCs w:val="0"/>
          <w:kern w:val="2"/>
          <w:sz w:val="21"/>
          <w:szCs w:val="21"/>
        </w:rPr>
        <w:t>广东省统一身份认证业务规划咨询服务项目</w:t>
      </w:r>
    </w:p>
    <w:p>
      <w:pPr>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en-US" w:eastAsia="zh-CN"/>
        </w:rPr>
        <w:t>二</w:t>
      </w:r>
      <w:r>
        <w:rPr>
          <w:rFonts w:hint="eastAsia" w:ascii="宋体" w:hAnsi="宋体" w:eastAsia="宋体" w:cs="宋体"/>
          <w:szCs w:val="21"/>
          <w:lang w:val="zh-CN"/>
        </w:rPr>
        <w:t>、采购预算：本项目总预算</w:t>
      </w:r>
      <w:r>
        <w:rPr>
          <w:rFonts w:hint="eastAsia" w:ascii="宋体" w:hAnsi="宋体" w:cs="宋体"/>
          <w:szCs w:val="21"/>
          <w:u w:val="single"/>
          <w:lang w:val="en-US" w:eastAsia="zh-CN"/>
        </w:rPr>
        <w:t xml:space="preserve"> 99</w:t>
      </w:r>
      <w:r>
        <w:rPr>
          <w:rFonts w:hint="eastAsia" w:ascii="宋体" w:hAnsi="宋体" w:eastAsia="宋体" w:cs="宋体"/>
          <w:szCs w:val="21"/>
          <w:lang w:val="zh-CN"/>
        </w:rPr>
        <w:t>万元。</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三</w:t>
      </w:r>
      <w:r>
        <w:rPr>
          <w:rFonts w:hint="eastAsia" w:ascii="宋体" w:hAnsi="宋体" w:eastAsia="宋体" w:cs="宋体"/>
          <w:szCs w:val="21"/>
          <w:lang w:val="zh-CN"/>
        </w:rPr>
        <w:t>、</w:t>
      </w:r>
      <w:r>
        <w:rPr>
          <w:rFonts w:hint="eastAsia" w:ascii="宋体" w:hAnsi="宋体" w:eastAsia="宋体" w:cs="宋体"/>
          <w:szCs w:val="21"/>
        </w:rPr>
        <w:t>项目内容及需求：</w:t>
      </w:r>
      <w:r>
        <w:rPr>
          <w:rFonts w:hint="eastAsia" w:ascii="宋体" w:hAnsi="宋体" w:eastAsia="宋体" w:cs="宋体"/>
          <w:szCs w:val="21"/>
          <w:lang w:val="zh-CN"/>
        </w:rPr>
        <w:t>本项目的服务内容</w:t>
      </w:r>
      <w:bookmarkStart w:id="0" w:name="_Hlk17120010"/>
      <w:r>
        <w:rPr>
          <w:rFonts w:hint="eastAsia" w:ascii="宋体" w:hAnsi="宋体" w:eastAsia="宋体" w:cs="宋体"/>
          <w:szCs w:val="21"/>
          <w:lang w:val="zh-CN"/>
        </w:rPr>
        <w:t>为</w:t>
      </w:r>
      <w:bookmarkEnd w:id="0"/>
      <w:r>
        <w:rPr>
          <w:rFonts w:hint="eastAsia" w:ascii="宋体" w:hAnsi="宋体" w:cs="宋体"/>
          <w:szCs w:val="21"/>
          <w:lang w:val="zh-CN"/>
        </w:rPr>
        <w:t>调研国家、广东省统一身份认证的建设现状，对我省统一身份认证平台的建设情况进行合规性诊断，对广东省统一身份认证下一步建设进行规划</w:t>
      </w:r>
      <w:r>
        <w:rPr>
          <w:rFonts w:hint="eastAsia" w:ascii="宋体" w:hAnsi="宋体" w:eastAsia="宋体" w:cs="宋体"/>
          <w:szCs w:val="21"/>
          <w:lang w:val="zh-CN"/>
        </w:rPr>
        <w:t>。</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四</w:t>
      </w:r>
      <w:r>
        <w:rPr>
          <w:rFonts w:hint="eastAsia" w:ascii="宋体" w:hAnsi="宋体" w:eastAsia="宋体" w:cs="宋体"/>
          <w:szCs w:val="21"/>
        </w:rPr>
        <w:t>、投标供应商资格：</w:t>
      </w:r>
    </w:p>
    <w:p>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eastAsia="宋体" w:cs="宋体"/>
          <w:sz w:val="21"/>
          <w:szCs w:val="21"/>
        </w:rPr>
        <w:t>1</w:t>
      </w:r>
      <w:r>
        <w:rPr>
          <w:rFonts w:hint="eastAsia" w:ascii="宋体" w:hAnsi="宋体" w:cs="宋体"/>
          <w:sz w:val="21"/>
          <w:szCs w:val="21"/>
          <w:lang w:eastAsia="zh-CN"/>
        </w:rPr>
        <w:t>）</w:t>
      </w:r>
      <w:r>
        <w:rPr>
          <w:rFonts w:hint="eastAsia" w:ascii="宋体" w:hAnsi="宋体" w:eastAsia="宋体" w:cs="宋体"/>
          <w:sz w:val="21"/>
          <w:szCs w:val="21"/>
        </w:rPr>
        <w:t>投标供应商应具备《政府采购法》第二十二条规定的条件。</w:t>
      </w:r>
    </w:p>
    <w:p>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eastAsia="宋体" w:cs="宋体"/>
          <w:sz w:val="21"/>
          <w:szCs w:val="21"/>
        </w:rPr>
        <w:t>2</w:t>
      </w:r>
      <w:r>
        <w:rPr>
          <w:rFonts w:hint="eastAsia" w:ascii="宋体" w:hAnsi="宋体" w:cs="宋体"/>
          <w:sz w:val="21"/>
          <w:szCs w:val="21"/>
          <w:lang w:eastAsia="zh-CN"/>
        </w:rPr>
        <w:t>）</w:t>
      </w:r>
      <w:r>
        <w:rPr>
          <w:rFonts w:hint="eastAsia" w:ascii="宋体" w:hAnsi="宋体" w:eastAsia="宋体" w:cs="宋体"/>
          <w:sz w:val="21"/>
          <w:szCs w:val="21"/>
        </w:rPr>
        <w:t>投标人必须是在中华人民共和国境内注册的具有独立承担民事责任能力的法人，取得合法企业工商营业执照。</w:t>
      </w:r>
    </w:p>
    <w:p>
      <w:pPr>
        <w:spacing w:line="360" w:lineRule="auto"/>
        <w:ind w:firstLine="420" w:firstLineChars="200"/>
        <w:rPr>
          <w:rFonts w:hint="default" w:ascii="宋体" w:hAnsi="宋体" w:eastAsia="宋体" w:cs="宋体"/>
          <w:szCs w:val="21"/>
          <w:lang w:val="en-US" w:eastAsia="zh-CN"/>
        </w:rPr>
      </w:pPr>
      <w:r>
        <w:rPr>
          <w:rFonts w:hint="eastAsia" w:ascii="宋体" w:hAnsi="宋体" w:eastAsia="宋体" w:cs="宋体"/>
          <w:szCs w:val="21"/>
        </w:rPr>
        <w:t>（</w:t>
      </w:r>
      <w:r>
        <w:rPr>
          <w:rFonts w:hint="eastAsia" w:ascii="宋体" w:hAnsi="宋体" w:cs="宋体"/>
          <w:szCs w:val="21"/>
          <w:lang w:val="en-US" w:eastAsia="zh-CN"/>
        </w:rPr>
        <w:t>3</w:t>
      </w:r>
      <w:r>
        <w:rPr>
          <w:rFonts w:hint="eastAsia" w:ascii="宋体" w:hAnsi="宋体" w:eastAsia="宋体" w:cs="宋体"/>
          <w:szCs w:val="21"/>
        </w:rPr>
        <w:t>）本项目</w:t>
      </w:r>
      <w:r>
        <w:rPr>
          <w:rFonts w:hint="eastAsia" w:ascii="宋体" w:hAnsi="宋体" w:eastAsia="宋体" w:cs="宋体"/>
          <w:szCs w:val="21"/>
          <w:u w:val="single"/>
        </w:rPr>
        <w:t>不接受</w:t>
      </w:r>
      <w:r>
        <w:rPr>
          <w:rFonts w:hint="eastAsia" w:ascii="宋体" w:hAnsi="宋体" w:eastAsia="宋体" w:cs="宋体"/>
          <w:szCs w:val="21"/>
        </w:rPr>
        <w:t>联合体投标。</w:t>
      </w:r>
    </w:p>
    <w:p>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lang w:val="en-US" w:eastAsia="zh-CN"/>
        </w:rPr>
        <w:t>五</w:t>
      </w:r>
      <w:r>
        <w:rPr>
          <w:rFonts w:hint="eastAsia" w:ascii="宋体" w:hAnsi="宋体" w:eastAsia="宋体" w:cs="宋体"/>
          <w:szCs w:val="21"/>
        </w:rPr>
        <w:t>、</w:t>
      </w:r>
      <w:r>
        <w:rPr>
          <w:rFonts w:hint="eastAsia" w:ascii="宋体" w:hAnsi="宋体" w:eastAsia="宋体" w:cs="宋体"/>
          <w:szCs w:val="21"/>
          <w:lang w:val="en-US" w:eastAsia="zh-CN"/>
        </w:rPr>
        <w:t>响应文件递交</w:t>
      </w:r>
      <w:r>
        <w:rPr>
          <w:rFonts w:hint="eastAsia" w:ascii="宋体" w:hAnsi="宋体" w:eastAsia="宋体" w:cs="宋体"/>
          <w:szCs w:val="21"/>
        </w:rPr>
        <w:t>截止时间：</w:t>
      </w:r>
      <w:r>
        <w:rPr>
          <w:rFonts w:hint="eastAsia" w:ascii="宋体" w:hAnsi="宋体" w:eastAsia="宋体" w:cs="宋体"/>
          <w:szCs w:val="21"/>
          <w:highlight w:val="none"/>
        </w:rPr>
        <w:t xml:space="preserve"> </w:t>
      </w:r>
      <w:r>
        <w:rPr>
          <w:rFonts w:hint="eastAsia" w:ascii="宋体" w:hAnsi="宋体" w:eastAsia="宋体" w:cs="宋体"/>
          <w:szCs w:val="21"/>
          <w:highlight w:val="none"/>
          <w:u w:val="single"/>
          <w:lang w:val="en-US" w:eastAsia="zh-CN"/>
        </w:rPr>
        <w:t xml:space="preserve">2020年 </w:t>
      </w:r>
      <w:r>
        <w:rPr>
          <w:rFonts w:hint="eastAsia" w:ascii="宋体" w:hAnsi="宋体" w:cs="宋体"/>
          <w:szCs w:val="21"/>
          <w:highlight w:val="none"/>
          <w:u w:val="single"/>
          <w:lang w:val="en-US" w:eastAsia="zh-CN"/>
        </w:rPr>
        <w:t>11</w:t>
      </w:r>
      <w:r>
        <w:rPr>
          <w:rFonts w:hint="eastAsia" w:ascii="宋体" w:hAnsi="宋体" w:eastAsia="宋体" w:cs="宋体"/>
          <w:szCs w:val="21"/>
          <w:highlight w:val="none"/>
          <w:u w:val="single"/>
          <w:lang w:val="en-US" w:eastAsia="zh-CN"/>
        </w:rPr>
        <w:t>月</w:t>
      </w:r>
      <w:r>
        <w:rPr>
          <w:rFonts w:hint="eastAsia" w:ascii="宋体" w:hAnsi="宋体" w:cs="宋体"/>
          <w:szCs w:val="21"/>
          <w:highlight w:val="none"/>
          <w:u w:val="single"/>
          <w:lang w:val="en-US" w:eastAsia="zh-CN"/>
        </w:rPr>
        <w:t xml:space="preserve"> 10 </w:t>
      </w:r>
      <w:r>
        <w:rPr>
          <w:rFonts w:hint="eastAsia" w:ascii="宋体" w:hAnsi="宋体" w:eastAsia="宋体" w:cs="宋体"/>
          <w:szCs w:val="21"/>
          <w:highlight w:val="none"/>
          <w:u w:val="single"/>
          <w:lang w:val="en-US" w:eastAsia="zh-CN"/>
        </w:rPr>
        <w:t>日 17时</w:t>
      </w:r>
      <w:r>
        <w:rPr>
          <w:rFonts w:hint="eastAsia" w:ascii="宋体" w:hAnsi="宋体" w:cs="宋体"/>
          <w:szCs w:val="21"/>
          <w:highlight w:val="none"/>
          <w:u w:val="single"/>
          <w:lang w:val="en-US" w:eastAsia="zh-CN"/>
        </w:rPr>
        <w:t>3</w:t>
      </w:r>
      <w:r>
        <w:rPr>
          <w:rFonts w:hint="eastAsia" w:ascii="宋体" w:hAnsi="宋体" w:eastAsia="宋体" w:cs="宋体"/>
          <w:szCs w:val="21"/>
          <w:highlight w:val="none"/>
          <w:u w:val="single"/>
          <w:lang w:val="en-US" w:eastAsia="zh-CN"/>
        </w:rPr>
        <w:t>0分</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rPr>
        <w:t>八、投标文件递交地点：</w:t>
      </w:r>
      <w:r>
        <w:rPr>
          <w:rFonts w:hint="eastAsia" w:ascii="宋体" w:hAnsi="宋体" w:eastAsia="宋体" w:cs="宋体"/>
          <w:szCs w:val="21"/>
          <w:lang w:val="zh-CN"/>
        </w:rPr>
        <w:t xml:space="preserve"> </w:t>
      </w:r>
      <w:r>
        <w:rPr>
          <w:rFonts w:hint="eastAsia" w:ascii="宋体" w:hAnsi="宋体" w:eastAsia="宋体" w:cs="宋体"/>
          <w:szCs w:val="21"/>
          <w:lang w:val="en-US" w:eastAsia="zh-CN"/>
        </w:rPr>
        <w:t xml:space="preserve">广州市东风中路305号大院9号楼 </w:t>
      </w:r>
      <w:r>
        <w:rPr>
          <w:rFonts w:hint="eastAsia" w:ascii="宋体" w:hAnsi="宋体" w:cs="宋体"/>
          <w:szCs w:val="21"/>
          <w:lang w:val="en-US" w:eastAsia="zh-CN"/>
        </w:rPr>
        <w:t>507</w:t>
      </w:r>
      <w:r>
        <w:rPr>
          <w:rFonts w:hint="eastAsia" w:ascii="宋体" w:hAnsi="宋体" w:eastAsia="宋体" w:cs="宋体"/>
          <w:szCs w:val="21"/>
          <w:lang w:val="en-US" w:eastAsia="zh-CN"/>
        </w:rPr>
        <w:t>室</w:t>
      </w:r>
    </w:p>
    <w:p>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rPr>
        <w:t>九、</w:t>
      </w:r>
      <w:r>
        <w:rPr>
          <w:rFonts w:hint="eastAsia" w:ascii="宋体" w:hAnsi="宋体" w:eastAsia="宋体" w:cs="宋体"/>
          <w:szCs w:val="21"/>
          <w:lang w:val="en-US" w:eastAsia="zh-CN"/>
        </w:rPr>
        <w:t>评审</w:t>
      </w:r>
      <w:r>
        <w:rPr>
          <w:rFonts w:hint="eastAsia" w:ascii="宋体" w:hAnsi="宋体" w:eastAsia="宋体" w:cs="宋体"/>
          <w:szCs w:val="21"/>
        </w:rPr>
        <w:t>时间：</w:t>
      </w:r>
      <w:r>
        <w:rPr>
          <w:rFonts w:hint="eastAsia" w:ascii="宋体" w:hAnsi="宋体" w:eastAsia="宋体" w:cs="宋体"/>
          <w:szCs w:val="21"/>
          <w:highlight w:val="none"/>
          <w:lang w:val="zh-CN"/>
        </w:rPr>
        <w:t xml:space="preserve"> </w:t>
      </w:r>
      <w:r>
        <w:rPr>
          <w:rFonts w:hint="eastAsia" w:ascii="宋体" w:hAnsi="宋体" w:eastAsia="宋体" w:cs="宋体"/>
          <w:szCs w:val="21"/>
          <w:highlight w:val="none"/>
          <w:u w:val="single"/>
          <w:lang w:val="en-US" w:eastAsia="zh-CN"/>
        </w:rPr>
        <w:t>2020年 1</w:t>
      </w:r>
      <w:r>
        <w:rPr>
          <w:rFonts w:hint="eastAsia" w:ascii="宋体" w:hAnsi="宋体" w:cs="宋体"/>
          <w:szCs w:val="21"/>
          <w:highlight w:val="none"/>
          <w:u w:val="single"/>
          <w:lang w:val="en-US" w:eastAsia="zh-CN"/>
        </w:rPr>
        <w:t>1</w:t>
      </w:r>
      <w:r>
        <w:rPr>
          <w:rFonts w:hint="eastAsia" w:ascii="宋体" w:hAnsi="宋体" w:eastAsia="宋体" w:cs="宋体"/>
          <w:szCs w:val="21"/>
          <w:highlight w:val="none"/>
          <w:u w:val="single"/>
          <w:lang w:val="en-US" w:eastAsia="zh-CN"/>
        </w:rPr>
        <w:t xml:space="preserve"> 月 </w:t>
      </w:r>
      <w:r>
        <w:rPr>
          <w:rFonts w:hint="eastAsia" w:ascii="宋体" w:hAnsi="宋体" w:cs="宋体"/>
          <w:szCs w:val="21"/>
          <w:highlight w:val="none"/>
          <w:u w:val="single"/>
          <w:lang w:val="en-US" w:eastAsia="zh-CN"/>
        </w:rPr>
        <w:t>11</w:t>
      </w:r>
      <w:r>
        <w:rPr>
          <w:rFonts w:hint="eastAsia" w:ascii="宋体" w:hAnsi="宋体" w:eastAsia="宋体" w:cs="宋体"/>
          <w:szCs w:val="21"/>
          <w:highlight w:val="none"/>
          <w:u w:val="single"/>
          <w:lang w:val="en-US" w:eastAsia="zh-CN"/>
        </w:rPr>
        <w:t xml:space="preserve">日 </w:t>
      </w:r>
      <w:r>
        <w:rPr>
          <w:rFonts w:hint="eastAsia" w:ascii="宋体" w:hAnsi="宋体" w:cs="宋体"/>
          <w:szCs w:val="21"/>
          <w:highlight w:val="none"/>
          <w:u w:val="single"/>
          <w:lang w:val="en-US" w:eastAsia="zh-CN"/>
        </w:rPr>
        <w:t>9</w:t>
      </w:r>
      <w:r>
        <w:rPr>
          <w:rFonts w:hint="eastAsia" w:ascii="宋体" w:hAnsi="宋体" w:eastAsia="宋体" w:cs="宋体"/>
          <w:szCs w:val="21"/>
          <w:highlight w:val="none"/>
          <w:u w:val="single"/>
          <w:lang w:val="en-US" w:eastAsia="zh-CN"/>
        </w:rPr>
        <w:t>时</w:t>
      </w:r>
      <w:r>
        <w:rPr>
          <w:rFonts w:hint="eastAsia" w:ascii="宋体" w:hAnsi="宋体" w:cs="宋体"/>
          <w:szCs w:val="21"/>
          <w:highlight w:val="none"/>
          <w:u w:val="single"/>
          <w:lang w:val="en-US" w:eastAsia="zh-CN"/>
        </w:rPr>
        <w:t>0</w:t>
      </w:r>
      <w:r>
        <w:rPr>
          <w:rFonts w:hint="eastAsia" w:ascii="宋体" w:hAnsi="宋体" w:eastAsia="宋体" w:cs="宋体"/>
          <w:szCs w:val="21"/>
          <w:highlight w:val="none"/>
          <w:u w:val="single"/>
          <w:lang w:val="en-US" w:eastAsia="zh-CN"/>
        </w:rPr>
        <w:t>0分</w:t>
      </w:r>
    </w:p>
    <w:p>
      <w:pPr>
        <w:spacing w:line="360" w:lineRule="auto"/>
        <w:ind w:firstLine="420" w:firstLineChars="200"/>
        <w:rPr>
          <w:rFonts w:hint="eastAsia" w:ascii="宋体" w:hAnsi="宋体" w:eastAsia="宋体" w:cs="宋体"/>
          <w:szCs w:val="21"/>
          <w:u w:val="single"/>
        </w:rPr>
      </w:pPr>
      <w:r>
        <w:rPr>
          <w:rFonts w:hint="eastAsia" w:ascii="宋体" w:hAnsi="宋体" w:eastAsia="宋体" w:cs="宋体"/>
          <w:szCs w:val="21"/>
        </w:rPr>
        <w:t>十、</w:t>
      </w:r>
      <w:r>
        <w:rPr>
          <w:rFonts w:hint="eastAsia" w:ascii="宋体" w:hAnsi="宋体" w:eastAsia="宋体" w:cs="宋体"/>
          <w:szCs w:val="21"/>
          <w:lang w:val="en-US" w:eastAsia="zh-CN"/>
        </w:rPr>
        <w:t>评审</w:t>
      </w:r>
      <w:r>
        <w:rPr>
          <w:rFonts w:hint="eastAsia" w:ascii="宋体" w:hAnsi="宋体" w:eastAsia="宋体" w:cs="宋体"/>
          <w:szCs w:val="21"/>
        </w:rPr>
        <w:t>地点：</w:t>
      </w:r>
      <w:r>
        <w:rPr>
          <w:rFonts w:hint="eastAsia" w:ascii="宋体" w:hAnsi="宋体" w:eastAsia="宋体" w:cs="宋体"/>
          <w:szCs w:val="21"/>
          <w:u w:val="single"/>
          <w:lang w:val="zh-CN"/>
        </w:rPr>
        <w:t xml:space="preserve"> </w:t>
      </w:r>
      <w:r>
        <w:rPr>
          <w:rFonts w:hint="eastAsia" w:ascii="宋体" w:hAnsi="宋体" w:eastAsia="宋体" w:cs="宋体"/>
          <w:szCs w:val="21"/>
          <w:u w:val="single"/>
          <w:lang w:val="en-US" w:eastAsia="zh-CN"/>
        </w:rPr>
        <w:t xml:space="preserve">广州市东风中路305号9号楼 </w:t>
      </w:r>
      <w:r>
        <w:rPr>
          <w:rFonts w:hint="eastAsia" w:ascii="宋体" w:hAnsi="宋体" w:cs="宋体"/>
          <w:szCs w:val="21"/>
          <w:u w:val="single"/>
          <w:lang w:val="en-US" w:eastAsia="zh-CN"/>
        </w:rPr>
        <w:t>4楼会议</w:t>
      </w:r>
      <w:r>
        <w:rPr>
          <w:rFonts w:hint="eastAsia" w:ascii="宋体" w:hAnsi="宋体" w:eastAsia="宋体" w:cs="宋体"/>
          <w:szCs w:val="21"/>
          <w:u w:val="single"/>
          <w:lang w:val="en-US" w:eastAsia="zh-CN"/>
        </w:rPr>
        <w:t>室</w:t>
      </w:r>
    </w:p>
    <w:p>
      <w:pPr>
        <w:tabs>
          <w:tab w:val="left" w:pos="4470"/>
        </w:tabs>
        <w:spacing w:line="360" w:lineRule="auto"/>
        <w:ind w:firstLine="420" w:firstLineChars="200"/>
        <w:rPr>
          <w:rFonts w:hint="default" w:ascii="宋体" w:hAnsi="宋体" w:eastAsia="宋体" w:cs="宋体"/>
          <w:szCs w:val="21"/>
          <w:u w:val="single"/>
          <w:lang w:val="en-US" w:eastAsia="zh-CN"/>
        </w:rPr>
      </w:pPr>
      <w:r>
        <w:rPr>
          <w:rFonts w:hint="eastAsia" w:ascii="宋体" w:hAnsi="宋体" w:eastAsia="宋体" w:cs="宋体"/>
          <w:szCs w:val="21"/>
          <w:lang w:val="en-US" w:eastAsia="zh-CN"/>
        </w:rPr>
        <w:t>十一、</w:t>
      </w:r>
      <w:r>
        <w:rPr>
          <w:rFonts w:hint="eastAsia" w:ascii="宋体" w:hAnsi="宋体" w:eastAsia="宋体" w:cs="宋体"/>
          <w:szCs w:val="21"/>
        </w:rPr>
        <w:t>联系人：</w:t>
      </w:r>
      <w:r>
        <w:rPr>
          <w:rFonts w:hint="eastAsia" w:ascii="宋体" w:hAnsi="宋体" w:cs="宋体"/>
          <w:szCs w:val="21"/>
          <w:u w:val="single"/>
          <w:lang w:eastAsia="zh-CN"/>
        </w:rPr>
        <w:t>李</w:t>
      </w:r>
      <w:r>
        <w:rPr>
          <w:rStyle w:val="13"/>
          <w:rFonts w:hint="eastAsia" w:ascii="宋体" w:hAnsi="宋体" w:eastAsia="宋体" w:cs="宋体"/>
          <w:u w:val="single"/>
          <w:lang w:val="en-US" w:eastAsia="zh-CN"/>
        </w:rPr>
        <w:t xml:space="preserve">先生  </w:t>
      </w:r>
      <w:r>
        <w:rPr>
          <w:rFonts w:hint="eastAsia" w:ascii="宋体" w:hAnsi="宋体" w:eastAsia="宋体" w:cs="宋体"/>
          <w:szCs w:val="21"/>
          <w:u w:val="single"/>
        </w:rPr>
        <w:t>电话：</w:t>
      </w:r>
      <w:r>
        <w:rPr>
          <w:rFonts w:hint="eastAsia" w:ascii="宋体" w:hAnsi="宋体" w:eastAsia="宋体" w:cs="宋体"/>
          <w:szCs w:val="21"/>
          <w:u w:val="single"/>
          <w:lang w:val="en-US" w:eastAsia="zh-CN"/>
        </w:rPr>
        <w:t>020-</w:t>
      </w:r>
      <w:r>
        <w:rPr>
          <w:rFonts w:hint="eastAsia" w:ascii="宋体" w:hAnsi="宋体" w:eastAsia="宋体" w:cs="宋体"/>
          <w:szCs w:val="21"/>
          <w:u w:val="single"/>
        </w:rPr>
        <w:t>83134</w:t>
      </w:r>
      <w:r>
        <w:rPr>
          <w:rFonts w:hint="eastAsia" w:ascii="宋体" w:hAnsi="宋体" w:cs="宋体"/>
          <w:szCs w:val="21"/>
          <w:u w:val="single"/>
          <w:lang w:val="en-US" w:eastAsia="zh-CN"/>
        </w:rPr>
        <w:t>251</w:t>
      </w:r>
    </w:p>
    <w:p>
      <w:pPr>
        <w:spacing w:line="360" w:lineRule="auto"/>
        <w:ind w:firstLine="5103" w:firstLineChars="2430"/>
        <w:rPr>
          <w:rFonts w:hint="eastAsia" w:ascii="宋体" w:hAnsi="宋体" w:eastAsia="宋体" w:cs="宋体"/>
          <w:szCs w:val="21"/>
        </w:rPr>
      </w:pPr>
    </w:p>
    <w:p>
      <w:pPr>
        <w:spacing w:line="360" w:lineRule="auto"/>
        <w:ind w:firstLine="5103" w:firstLineChars="2430"/>
        <w:rPr>
          <w:rFonts w:hint="eastAsia" w:ascii="宋体" w:hAnsi="宋体" w:eastAsia="宋体" w:cs="宋体"/>
          <w:szCs w:val="21"/>
        </w:rPr>
      </w:pPr>
    </w:p>
    <w:p>
      <w:pPr>
        <w:spacing w:line="360" w:lineRule="auto"/>
        <w:ind w:firstLine="5730" w:firstLineChars="2729"/>
        <w:rPr>
          <w:rFonts w:hint="eastAsia" w:ascii="宋体" w:hAnsi="宋体" w:eastAsia="宋体" w:cs="宋体"/>
          <w:szCs w:val="21"/>
          <w:lang w:val="en-US" w:eastAsia="zh-CN"/>
        </w:rPr>
      </w:pPr>
      <w:r>
        <w:rPr>
          <w:rFonts w:hint="eastAsia" w:ascii="宋体" w:hAnsi="宋体" w:eastAsia="宋体" w:cs="宋体"/>
          <w:szCs w:val="21"/>
        </w:rPr>
        <w:t>广东省</w:t>
      </w:r>
      <w:r>
        <w:rPr>
          <w:rFonts w:hint="eastAsia" w:ascii="宋体" w:hAnsi="宋体" w:eastAsia="宋体" w:cs="宋体"/>
          <w:szCs w:val="21"/>
          <w:lang w:val="en-US" w:eastAsia="zh-CN"/>
        </w:rPr>
        <w:t>政务服务数据管理局</w:t>
      </w:r>
    </w:p>
    <w:p>
      <w:pPr>
        <w:spacing w:line="360" w:lineRule="auto"/>
        <w:ind w:firstLine="6360" w:firstLineChars="3029"/>
        <w:rPr>
          <w:rFonts w:hint="eastAsia" w:ascii="宋体" w:hAnsi="宋体" w:eastAsia="宋体" w:cs="宋体"/>
          <w:szCs w:val="21"/>
          <w:highlight w:val="yellow"/>
          <w:lang w:val="en-US" w:eastAsia="zh-CN"/>
        </w:rPr>
      </w:pPr>
      <w:r>
        <w:rPr>
          <w:rFonts w:hint="eastAsia" w:ascii="宋体" w:hAnsi="宋体" w:eastAsia="宋体" w:cs="宋体"/>
          <w:szCs w:val="21"/>
          <w:highlight w:val="none"/>
        </w:rPr>
        <w:t>2020年</w:t>
      </w: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1</w:t>
      </w:r>
      <w:r>
        <w:rPr>
          <w:rFonts w:hint="eastAsia" w:ascii="宋体" w:hAnsi="宋体" w:eastAsia="宋体" w:cs="宋体"/>
          <w:szCs w:val="21"/>
          <w:highlight w:val="none"/>
        </w:rPr>
        <w:t>月</w:t>
      </w:r>
      <w:r>
        <w:rPr>
          <w:rFonts w:hint="eastAsia" w:ascii="宋体" w:hAnsi="宋体" w:cs="宋体"/>
          <w:szCs w:val="21"/>
          <w:highlight w:val="none"/>
          <w:lang w:val="en-US" w:eastAsia="zh-CN"/>
        </w:rPr>
        <w:t>6日</w:t>
      </w:r>
    </w:p>
    <w:p>
      <w:pPr>
        <w:snapToGrid w:val="0"/>
        <w:spacing w:line="360" w:lineRule="auto"/>
        <w:rPr>
          <w:rFonts w:hint="eastAsia" w:ascii="宋体" w:hAnsi="宋体" w:cs="Tahoma"/>
          <w:szCs w:val="21"/>
        </w:rPr>
      </w:pPr>
    </w:p>
    <w:p>
      <w:pPr>
        <w:spacing w:line="0" w:lineRule="atLeast"/>
        <w:ind w:left="-141" w:leftChars="-67" w:firstLine="80" w:firstLineChars="38"/>
        <w:jc w:val="center"/>
        <w:rPr>
          <w:rFonts w:hint="eastAsia" w:ascii="Times New Roman" w:hAnsi="Times New Roman" w:eastAsia="方正小标宋简体"/>
          <w:b/>
          <w:bCs/>
          <w:color w:val="333333"/>
          <w:kern w:val="0"/>
          <w:sz w:val="44"/>
          <w:szCs w:val="44"/>
        </w:rPr>
      </w:pPr>
      <w:r>
        <w:rPr>
          <w:rFonts w:hint="eastAsia" w:ascii="宋体" w:hAnsi="宋体"/>
          <w:b/>
          <w:szCs w:val="21"/>
        </w:rPr>
        <w:br w:type="page"/>
      </w:r>
    </w:p>
    <w:p>
      <w:pPr>
        <w:spacing w:line="0" w:lineRule="atLeast"/>
        <w:ind w:left="0" w:leftChars="0" w:firstLine="0" w:firstLineChars="0"/>
        <w:jc w:val="both"/>
        <w:rPr>
          <w:rFonts w:hint="eastAsia" w:ascii="Times New Roman" w:hAnsi="Times New Roman" w:eastAsia="方正小标宋简体"/>
          <w:b/>
          <w:bCs/>
          <w:color w:val="333333"/>
          <w:kern w:val="0"/>
          <w:sz w:val="44"/>
          <w:szCs w:val="44"/>
        </w:rPr>
      </w:pPr>
    </w:p>
    <w:p>
      <w:pPr>
        <w:jc w:val="center"/>
        <w:rPr>
          <w:rFonts w:ascii="黑体" w:hAnsi="宋体" w:eastAsia="黑体"/>
          <w:sz w:val="28"/>
          <w:szCs w:val="32"/>
        </w:rPr>
      </w:pPr>
      <w:r>
        <w:rPr>
          <w:rFonts w:hint="eastAsia" w:ascii="宋体" w:hAnsi="宋体" w:eastAsia="宋体" w:cs="宋体"/>
          <w:b/>
          <w:kern w:val="0"/>
          <w:sz w:val="28"/>
          <w:szCs w:val="28"/>
        </w:rPr>
        <w:t>第二部分　用户需求书</w:t>
      </w:r>
    </w:p>
    <w:p>
      <w:pPr>
        <w:pStyle w:val="17"/>
        <w:rPr>
          <w:rFonts w:ascii="Times New Roman" w:hAnsi="Times New Roman"/>
        </w:rPr>
      </w:pPr>
      <w:r>
        <w:rPr>
          <w:rFonts w:ascii="Times New Roman" w:hAnsi="Times New Roman"/>
        </w:rPr>
        <w:t>项目概况</w:t>
      </w:r>
    </w:p>
    <w:p>
      <w:pPr>
        <w:pStyle w:val="15"/>
        <w:rPr>
          <w:rFonts w:ascii="Times New Roman" w:hAnsi="Times New Roman"/>
        </w:rPr>
      </w:pPr>
      <w:r>
        <w:rPr>
          <w:rFonts w:ascii="Times New Roman" w:hAnsi="Times New Roman"/>
        </w:rPr>
        <w:t>基本信息</w:t>
      </w:r>
    </w:p>
    <w:p>
      <w:pPr>
        <w:pStyle w:val="18"/>
        <w:rPr>
          <w:rFonts w:ascii="Times New Roman" w:hAnsi="Times New Roman"/>
        </w:rPr>
      </w:pPr>
      <w:r>
        <w:rPr>
          <w:rFonts w:ascii="Times New Roman" w:hAnsi="Times New Roman"/>
        </w:rPr>
        <w:t>项目名称</w:t>
      </w:r>
    </w:p>
    <w:p>
      <w:pPr>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广东省统一身份认证</w:t>
      </w:r>
      <w:r>
        <w:rPr>
          <w:rFonts w:hint="eastAsia" w:ascii="Times New Roman" w:hAnsi="Times New Roman" w:eastAsia="仿宋_GB2312"/>
          <w:b w:val="0"/>
          <w:bCs w:val="0"/>
          <w:color w:val="333333"/>
          <w:kern w:val="2"/>
          <w:sz w:val="28"/>
          <w:szCs w:val="28"/>
        </w:rPr>
        <w:t>业务规划咨询</w:t>
      </w:r>
      <w:r>
        <w:rPr>
          <w:rFonts w:hint="eastAsia" w:ascii="Times New Roman" w:hAnsi="Times New Roman" w:eastAsia="仿宋_GB2312"/>
          <w:sz w:val="28"/>
          <w:szCs w:val="28"/>
        </w:rPr>
        <w:t>服务。</w:t>
      </w:r>
    </w:p>
    <w:p>
      <w:pPr>
        <w:pStyle w:val="18"/>
        <w:rPr>
          <w:rFonts w:ascii="Times New Roman" w:hAnsi="Times New Roman"/>
        </w:rPr>
      </w:pPr>
      <w:r>
        <w:rPr>
          <w:rFonts w:ascii="Times New Roman" w:hAnsi="Times New Roman"/>
        </w:rPr>
        <w:t>采购人</w:t>
      </w:r>
    </w:p>
    <w:p>
      <w:pPr>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省政务服务数据管理局。</w:t>
      </w:r>
    </w:p>
    <w:p>
      <w:pPr>
        <w:pStyle w:val="18"/>
        <w:rPr>
          <w:rFonts w:ascii="Times New Roman" w:hAnsi="Times New Roman"/>
        </w:rPr>
      </w:pPr>
      <w:r>
        <w:rPr>
          <w:rFonts w:ascii="Times New Roman" w:hAnsi="Times New Roman"/>
        </w:rPr>
        <w:t>项目总体目标</w:t>
      </w:r>
    </w:p>
    <w:p>
      <w:pPr>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深入研究国内身份认证的政策制度、标准规范和实践经验，系统分析国</w:t>
      </w:r>
      <w:r>
        <w:rPr>
          <w:rFonts w:hint="eastAsia" w:ascii="Times New Roman" w:hAnsi="Times New Roman" w:eastAsia="仿宋_GB2312"/>
          <w:sz w:val="28"/>
          <w:szCs w:val="28"/>
          <w:lang w:eastAsia="zh-CN"/>
        </w:rPr>
        <w:t>家</w:t>
      </w:r>
      <w:r>
        <w:rPr>
          <w:rFonts w:hint="eastAsia" w:ascii="Times New Roman" w:hAnsi="Times New Roman" w:eastAsia="仿宋_GB2312"/>
          <w:sz w:val="28"/>
          <w:szCs w:val="28"/>
        </w:rPr>
        <w:t>关于深入推进“互联网+政务服务”的部署要求和关于统一身份认证的各项评估指标要求，梳理我省统一身份认证平台功能及运营的现有基础</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rPr>
        <w:t>面临的问题、困难</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rPr>
        <w:t>分析总结可执行的优化方案，协助推进相关推广工作，并提出我省统一身份认证的发展规划，</w:t>
      </w:r>
      <w:r>
        <w:rPr>
          <w:rFonts w:hint="eastAsia" w:ascii="Times New Roman" w:hAnsi="Times New Roman" w:eastAsia="仿宋_GB2312"/>
          <w:sz w:val="28"/>
          <w:szCs w:val="28"/>
          <w:lang w:eastAsia="zh-CN"/>
        </w:rPr>
        <w:t>确保</w:t>
      </w:r>
      <w:r>
        <w:rPr>
          <w:rFonts w:hint="eastAsia" w:ascii="Times New Roman" w:hAnsi="Times New Roman" w:eastAsia="仿宋_GB2312"/>
          <w:sz w:val="28"/>
          <w:szCs w:val="28"/>
        </w:rPr>
        <w:t>我省统一身份认证</w:t>
      </w:r>
      <w:r>
        <w:rPr>
          <w:rFonts w:hint="eastAsia" w:ascii="Times New Roman" w:hAnsi="Times New Roman" w:eastAsia="仿宋_GB2312"/>
          <w:sz w:val="28"/>
          <w:szCs w:val="28"/>
          <w:lang w:eastAsia="zh-CN"/>
        </w:rPr>
        <w:t>平台的高可用性</w:t>
      </w:r>
      <w:r>
        <w:rPr>
          <w:rFonts w:hint="eastAsia" w:ascii="Times New Roman" w:hAnsi="Times New Roman" w:eastAsia="仿宋_GB2312"/>
          <w:sz w:val="28"/>
          <w:szCs w:val="28"/>
        </w:rPr>
        <w:t>、稳定性</w:t>
      </w:r>
      <w:r>
        <w:rPr>
          <w:rFonts w:hint="eastAsia" w:ascii="Times New Roman" w:hAnsi="Times New Roman" w:eastAsia="仿宋_GB2312"/>
          <w:sz w:val="28"/>
          <w:szCs w:val="28"/>
          <w:lang w:eastAsia="zh-CN"/>
        </w:rPr>
        <w:t>和</w:t>
      </w:r>
      <w:r>
        <w:rPr>
          <w:rFonts w:hint="eastAsia" w:ascii="Times New Roman" w:hAnsi="Times New Roman" w:eastAsia="仿宋_GB2312"/>
          <w:sz w:val="28"/>
          <w:szCs w:val="28"/>
        </w:rPr>
        <w:t>安全性，提升我省统一身份认证服务规范化和标准化建设水平，推动更多事项在更大范围内实现“一网通办”。</w:t>
      </w:r>
    </w:p>
    <w:p>
      <w:pPr>
        <w:pStyle w:val="18"/>
        <w:rPr>
          <w:rFonts w:ascii="Times New Roman" w:hAnsi="Times New Roman"/>
        </w:rPr>
      </w:pPr>
      <w:r>
        <w:rPr>
          <w:rFonts w:ascii="Times New Roman" w:hAnsi="Times New Roman"/>
        </w:rPr>
        <w:t>服务地点</w:t>
      </w:r>
    </w:p>
    <w:p>
      <w:pPr>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广州市。</w:t>
      </w:r>
    </w:p>
    <w:p>
      <w:pPr>
        <w:pStyle w:val="15"/>
        <w:rPr>
          <w:rFonts w:ascii="Times New Roman" w:hAnsi="Times New Roman"/>
        </w:rPr>
      </w:pPr>
      <w:r>
        <w:rPr>
          <w:rFonts w:ascii="Times New Roman" w:hAnsi="Times New Roman"/>
        </w:rPr>
        <w:t>项目背景</w:t>
      </w:r>
    </w:p>
    <w:p>
      <w:pPr>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根据《广东省“数字政府”建设总体规划（</w:t>
      </w:r>
      <w:r>
        <w:rPr>
          <w:rFonts w:ascii="Times New Roman" w:hAnsi="Times New Roman" w:eastAsia="仿宋_GB2312"/>
          <w:sz w:val="28"/>
          <w:szCs w:val="28"/>
        </w:rPr>
        <w:t>2018-2020</w:t>
      </w:r>
      <w:r>
        <w:rPr>
          <w:rFonts w:hint="eastAsia" w:ascii="Times New Roman" w:hAnsi="Times New Roman" w:eastAsia="仿宋_GB2312"/>
          <w:sz w:val="28"/>
          <w:szCs w:val="28"/>
        </w:rPr>
        <w:t>）》《广东省“数字政府”建设总体规划（</w:t>
      </w:r>
      <w:r>
        <w:rPr>
          <w:rFonts w:ascii="Times New Roman" w:hAnsi="Times New Roman" w:eastAsia="仿宋_GB2312"/>
          <w:sz w:val="28"/>
          <w:szCs w:val="28"/>
        </w:rPr>
        <w:t>2018-2020</w:t>
      </w:r>
      <w:r>
        <w:rPr>
          <w:rFonts w:hint="eastAsia" w:ascii="Times New Roman" w:hAnsi="Times New Roman" w:eastAsia="仿宋_GB2312"/>
          <w:sz w:val="28"/>
          <w:szCs w:val="28"/>
        </w:rPr>
        <w:t>）实施方案》</w:t>
      </w:r>
      <w:r>
        <w:rPr>
          <w:rFonts w:hint="eastAsia" w:ascii="Times New Roman" w:hAnsi="Times New Roman" w:eastAsia="仿宋_GB2312"/>
          <w:sz w:val="28"/>
          <w:szCs w:val="28"/>
          <w:lang w:val="en-US" w:eastAsia="zh-CN"/>
        </w:rPr>
        <w:t>的设计</w:t>
      </w:r>
      <w:r>
        <w:rPr>
          <w:rFonts w:hint="eastAsia" w:ascii="Times New Roman" w:hAnsi="Times New Roman" w:eastAsia="仿宋_GB2312"/>
          <w:sz w:val="28"/>
          <w:szCs w:val="28"/>
        </w:rPr>
        <w:t>，按照国家推进“互联网+政务服务”、加快政务信息系统整合共享和实施政务信息化工程建设规划等工作部署，广东省委省政府大力推进广东“数字政府”改革建设。在政务平台上，要推进政务信息系统整合，破除“信息孤岛”，打造统一安全的政务云平台、数据资源整合和大数据平台、一体化网上政务服务平台，构建形成大平台共享、大数据慧治、大系统共治的顶层架构，实现互联网和政务服务深度融合,同时要建成省级统筹、整体联动、部门协同、一网通办的“互联网+政务服务”体系</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rPr>
        <w:t>以“制度创新+技术创新”推动我省“放管服”改革向纵深发展，大力推进简政放权，优化政务服务流程，实现审批更简、监管更强、服务更优。要整合全省身份认证体系，实现用户“一地登录、全省互认、全程通用”，全面推广“一门式、一网式”电子化政务管理服务模式。</w:t>
      </w:r>
    </w:p>
    <w:p>
      <w:pPr>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lang w:eastAsia="zh-CN"/>
        </w:rPr>
        <w:t>根据国家政务服务平台</w:t>
      </w:r>
      <w:r>
        <w:rPr>
          <w:rFonts w:hint="eastAsia" w:ascii="Times New Roman" w:hAnsi="Times New Roman" w:eastAsia="仿宋_GB2312"/>
          <w:sz w:val="28"/>
          <w:szCs w:val="28"/>
        </w:rPr>
        <w:t>统一身份认证</w:t>
      </w:r>
      <w:r>
        <w:rPr>
          <w:rFonts w:hint="eastAsia" w:ascii="Times New Roman" w:hAnsi="Times New Roman" w:eastAsia="仿宋_GB2312"/>
          <w:sz w:val="28"/>
          <w:szCs w:val="28"/>
          <w:lang w:eastAsia="zh-CN"/>
        </w:rPr>
        <w:t>平台的总体建设要求，我省建设了省</w:t>
      </w:r>
      <w:r>
        <w:rPr>
          <w:rFonts w:hint="eastAsia" w:ascii="Times New Roman" w:hAnsi="Times New Roman" w:eastAsia="仿宋_GB2312"/>
          <w:sz w:val="28"/>
          <w:szCs w:val="28"/>
        </w:rPr>
        <w:t>统一身份认证平台，目前已</w:t>
      </w:r>
      <w:r>
        <w:rPr>
          <w:rFonts w:hint="eastAsia" w:ascii="Times New Roman" w:hAnsi="Times New Roman" w:eastAsia="仿宋_GB2312"/>
          <w:sz w:val="28"/>
          <w:szCs w:val="28"/>
          <w:lang w:eastAsia="zh-CN"/>
        </w:rPr>
        <w:t>完成与</w:t>
      </w:r>
      <w:r>
        <w:rPr>
          <w:rFonts w:hint="eastAsia" w:ascii="Times New Roman" w:hAnsi="Times New Roman" w:eastAsia="仿宋_GB2312"/>
          <w:sz w:val="28"/>
          <w:szCs w:val="28"/>
        </w:rPr>
        <w:t>国家政务服务平台</w:t>
      </w:r>
      <w:r>
        <w:rPr>
          <w:rFonts w:hint="eastAsia" w:ascii="Times New Roman" w:hAnsi="Times New Roman" w:eastAsia="仿宋_GB2312"/>
          <w:sz w:val="28"/>
          <w:szCs w:val="28"/>
          <w:lang w:eastAsia="zh-CN"/>
        </w:rPr>
        <w:t>统一身份认证平台的对接，接入</w:t>
      </w:r>
      <w:r>
        <w:rPr>
          <w:rFonts w:hint="eastAsia" w:ascii="Times New Roman" w:hAnsi="Times New Roman" w:eastAsia="仿宋_GB2312"/>
          <w:sz w:val="28"/>
          <w:szCs w:val="28"/>
        </w:rPr>
        <w:t>身份证、港澳通行证等各类核验源，为全省政务服务业务系统提供线上可信实名身份认证。省统一身份认证平台包含公众侧和政务侧两大子平台：公众侧认证平台为自然人、法人提供多种注册、登录、核验等服务；政务侧认证平台为全省政务人员提供实名身份认证、组织架构、人员管理、标签管理等功能。</w:t>
      </w:r>
    </w:p>
    <w:p>
      <w:pPr>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截至</w:t>
      </w:r>
      <w:r>
        <w:rPr>
          <w:rFonts w:hint="eastAsia" w:ascii="Times New Roman" w:hAnsi="Times New Roman" w:eastAsia="仿宋_GB2312"/>
          <w:sz w:val="28"/>
          <w:szCs w:val="28"/>
          <w:lang w:eastAsia="zh-CN"/>
        </w:rPr>
        <w:t>目前</w:t>
      </w:r>
      <w:r>
        <w:rPr>
          <w:rFonts w:hint="eastAsia" w:ascii="Times New Roman" w:hAnsi="Times New Roman" w:eastAsia="仿宋_GB2312"/>
          <w:sz w:val="28"/>
          <w:szCs w:val="28"/>
        </w:rPr>
        <w:t>，省公众用户统一身份认证平台已</w:t>
      </w:r>
      <w:r>
        <w:rPr>
          <w:rFonts w:hint="eastAsia" w:ascii="Times New Roman" w:hAnsi="Times New Roman" w:eastAsia="仿宋_GB2312"/>
          <w:sz w:val="28"/>
          <w:szCs w:val="28"/>
          <w:lang w:eastAsia="zh-CN"/>
        </w:rPr>
        <w:t>支撑</w:t>
      </w:r>
      <w:r>
        <w:rPr>
          <w:rFonts w:hint="eastAsia" w:ascii="Times New Roman" w:hAnsi="Times New Roman" w:eastAsia="仿宋_GB2312"/>
          <w:sz w:val="28"/>
          <w:szCs w:val="28"/>
        </w:rPr>
        <w:t>全省超过700个业务系统，覆盖43个省直厅局21个地市，省政务人员统一身份认证平台累计支撑超过200个政务服务系统。</w:t>
      </w:r>
    </w:p>
    <w:p>
      <w:pPr>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随着省统一身份认证平台全省推广，用户量及使用量增长迅速，在平台</w:t>
      </w:r>
      <w:r>
        <w:rPr>
          <w:rFonts w:hint="eastAsia" w:ascii="Times New Roman" w:hAnsi="Times New Roman" w:eastAsia="仿宋_GB2312"/>
          <w:sz w:val="28"/>
          <w:szCs w:val="28"/>
          <w:lang w:val="en-US" w:eastAsia="zh-CN"/>
        </w:rPr>
        <w:t>功能和</w:t>
      </w:r>
      <w:r>
        <w:rPr>
          <w:rFonts w:hint="eastAsia" w:ascii="Times New Roman" w:hAnsi="Times New Roman" w:eastAsia="仿宋_GB2312"/>
          <w:sz w:val="28"/>
          <w:szCs w:val="28"/>
        </w:rPr>
        <w:t>性能、安全</w:t>
      </w:r>
      <w:r>
        <w:rPr>
          <w:rFonts w:hint="eastAsia" w:ascii="Times New Roman" w:hAnsi="Times New Roman" w:eastAsia="仿宋_GB2312"/>
          <w:sz w:val="28"/>
          <w:szCs w:val="28"/>
          <w:lang w:val="en-US" w:eastAsia="zh-CN"/>
        </w:rPr>
        <w:t>等</w:t>
      </w:r>
      <w:r>
        <w:rPr>
          <w:rFonts w:hint="eastAsia" w:ascii="Times New Roman" w:hAnsi="Times New Roman" w:eastAsia="仿宋_GB2312"/>
          <w:sz w:val="28"/>
          <w:szCs w:val="28"/>
        </w:rPr>
        <w:t>方面需进一步提升；同时，在与国家认证平台对接过程中，仍与国家标准存在</w:t>
      </w:r>
      <w:r>
        <w:rPr>
          <w:rFonts w:hint="eastAsia" w:ascii="Times New Roman" w:hAnsi="Times New Roman" w:eastAsia="仿宋_GB2312"/>
          <w:sz w:val="28"/>
          <w:szCs w:val="28"/>
          <w:lang w:val="en-US" w:eastAsia="zh-CN"/>
        </w:rPr>
        <w:t>部分</w:t>
      </w:r>
      <w:r>
        <w:rPr>
          <w:rFonts w:hint="eastAsia" w:ascii="Times New Roman" w:hAnsi="Times New Roman" w:eastAsia="仿宋_GB2312"/>
          <w:sz w:val="28"/>
          <w:szCs w:val="28"/>
        </w:rPr>
        <w:t>差异。因此，需深入分析国家规范及评估标准，借鉴其他省份优秀经验，对省统一身份认证平台进行可持续性规划，确保平台</w:t>
      </w:r>
      <w:r>
        <w:rPr>
          <w:rFonts w:hint="eastAsia" w:ascii="Times New Roman" w:hAnsi="Times New Roman" w:eastAsia="仿宋_GB2312"/>
          <w:sz w:val="28"/>
          <w:szCs w:val="28"/>
          <w:lang w:eastAsia="zh-CN"/>
        </w:rPr>
        <w:t>的高可用性、稳定性和安全性，</w:t>
      </w:r>
      <w:r>
        <w:rPr>
          <w:rFonts w:hint="eastAsia" w:ascii="Times New Roman" w:hAnsi="Times New Roman" w:eastAsia="仿宋_GB2312"/>
          <w:sz w:val="28"/>
          <w:szCs w:val="28"/>
        </w:rPr>
        <w:t>支撑更多业务及用户使用。</w:t>
      </w:r>
    </w:p>
    <w:p>
      <w:pPr>
        <w:pStyle w:val="17"/>
        <w:rPr>
          <w:rFonts w:ascii="Times New Roman" w:hAnsi="Times New Roman"/>
        </w:rPr>
      </w:pPr>
      <w:r>
        <w:rPr>
          <w:rFonts w:ascii="Times New Roman" w:hAnsi="Times New Roman"/>
        </w:rPr>
        <w:t>项目预算</w:t>
      </w:r>
    </w:p>
    <w:p>
      <w:pPr>
        <w:ind w:firstLine="560" w:firstLineChars="200"/>
        <w:jc w:val="left"/>
        <w:rPr>
          <w:rFonts w:ascii="Times New Roman" w:hAnsi="Times New Roman" w:eastAsia="楷体_GB2312"/>
          <w:i/>
          <w:color w:val="7F7F7F"/>
          <w:sz w:val="28"/>
          <w:szCs w:val="28"/>
        </w:rPr>
      </w:pPr>
      <w:r>
        <w:rPr>
          <w:rFonts w:ascii="Times New Roman" w:hAnsi="Times New Roman" w:eastAsia="仿宋_GB2312"/>
          <w:sz w:val="28"/>
          <w:szCs w:val="28"/>
        </w:rPr>
        <w:t>本项目总预算为</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99</w:t>
      </w:r>
      <w:r>
        <w:rPr>
          <w:rFonts w:ascii="Times New Roman" w:hAnsi="Times New Roman" w:eastAsia="仿宋_GB2312"/>
          <w:sz w:val="28"/>
          <w:szCs w:val="28"/>
          <w:u w:val="single"/>
        </w:rPr>
        <w:t xml:space="preserve"> </w:t>
      </w:r>
      <w:r>
        <w:rPr>
          <w:rFonts w:ascii="Times New Roman" w:hAnsi="Times New Roman" w:eastAsia="仿宋_GB2312"/>
          <w:sz w:val="28"/>
          <w:szCs w:val="28"/>
        </w:rPr>
        <w:t>万元</w:t>
      </w:r>
      <w:r>
        <w:rPr>
          <w:rFonts w:hint="eastAsia" w:ascii="Times New Roman" w:hAnsi="Times New Roman" w:eastAsia="仿宋_GB2312"/>
          <w:sz w:val="28"/>
          <w:szCs w:val="28"/>
        </w:rPr>
        <w:t>。</w:t>
      </w:r>
    </w:p>
    <w:p>
      <w:pPr>
        <w:pStyle w:val="17"/>
        <w:rPr>
          <w:rFonts w:ascii="Times New Roman" w:hAnsi="Times New Roman"/>
        </w:rPr>
      </w:pPr>
      <w:r>
        <w:rPr>
          <w:rFonts w:ascii="Times New Roman" w:hAnsi="Times New Roman"/>
        </w:rPr>
        <w:t>服务期限</w:t>
      </w:r>
    </w:p>
    <w:p>
      <w:pPr>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本项目服务期限为自合同签订之日起</w:t>
      </w:r>
      <w:r>
        <w:rPr>
          <w:rFonts w:ascii="Times New Roman" w:hAnsi="Times New Roman" w:eastAsia="仿宋_GB2312"/>
          <w:sz w:val="28"/>
          <w:szCs w:val="28"/>
          <w:u w:val="single"/>
        </w:rPr>
        <w:t xml:space="preserve"> 6 </w:t>
      </w:r>
      <w:r>
        <w:rPr>
          <w:rFonts w:ascii="Times New Roman" w:hAnsi="Times New Roman" w:eastAsia="仿宋_GB2312"/>
          <w:sz w:val="28"/>
          <w:szCs w:val="28"/>
        </w:rPr>
        <w:t>个月</w:t>
      </w:r>
      <w:bookmarkStart w:id="1" w:name="_Hlk8306139"/>
      <w:r>
        <w:rPr>
          <w:rFonts w:ascii="Times New Roman" w:hAnsi="Times New Roman" w:eastAsia="仿宋_GB2312"/>
          <w:sz w:val="28"/>
          <w:szCs w:val="28"/>
        </w:rPr>
        <w:t>。</w:t>
      </w:r>
      <w:bookmarkEnd w:id="1"/>
    </w:p>
    <w:p>
      <w:pPr>
        <w:pStyle w:val="17"/>
        <w:rPr>
          <w:rFonts w:ascii="Times New Roman" w:hAnsi="Times New Roman"/>
        </w:rPr>
      </w:pPr>
      <w:r>
        <w:rPr>
          <w:rFonts w:ascii="Times New Roman" w:hAnsi="Times New Roman"/>
        </w:rPr>
        <w:t>服务内容</w:t>
      </w:r>
    </w:p>
    <w:p>
      <w:pPr>
        <w:pStyle w:val="15"/>
      </w:pPr>
      <w:r>
        <w:rPr>
          <w:rFonts w:hint="eastAsia"/>
        </w:rPr>
        <w:t>调研业务</w:t>
      </w:r>
    </w:p>
    <w:p>
      <w:pPr>
        <w:pStyle w:val="18"/>
      </w:pPr>
      <w:r>
        <w:rPr>
          <w:rFonts w:hint="eastAsia"/>
        </w:rPr>
        <w:t>统一身份认证平台调研</w:t>
      </w:r>
    </w:p>
    <w:p>
      <w:pPr>
        <w:pStyle w:val="27"/>
        <w:ind w:firstLineChars="0"/>
        <w:rPr>
          <w:rFonts w:ascii="Times New Roman" w:hAnsi="Times New Roman"/>
        </w:rPr>
      </w:pPr>
      <w:r>
        <w:rPr>
          <w:rFonts w:hint="eastAsia" w:ascii="Times New Roman" w:hAnsi="Times New Roman" w:cs="Times New Roman"/>
          <w:lang w:val="en-US" w:eastAsia="zh-CN"/>
        </w:rPr>
        <w:t>中标人应</w:t>
      </w:r>
      <w:r>
        <w:rPr>
          <w:rFonts w:hint="eastAsia" w:ascii="Times New Roman" w:hAnsi="Times New Roman" w:cs="Times New Roman"/>
        </w:rPr>
        <w:t>根据《国家政务服务平台统一身份认证系统身份认证技术要求》、《国家政务服务平台统一身份认证系统接入要求》、《国家政务服务平台统一身份认证隐私保护要求》等相关标准规范要求及第三方评估指标，调研</w:t>
      </w:r>
      <w:r>
        <w:rPr>
          <w:rFonts w:ascii="Times New Roman" w:hAnsi="Times New Roman" w:cs="Times New Roman"/>
        </w:rPr>
        <w:t>国家级平台</w:t>
      </w:r>
      <w:r>
        <w:rPr>
          <w:rFonts w:hint="eastAsia" w:ascii="Times New Roman" w:hAnsi="Times New Roman" w:cs="Times New Roman"/>
        </w:rPr>
        <w:t>和广东省统一身份认证平台，主要包括统一身份认证的总体架构、业务架构、应用架构、数据架构、网络架构、技术路线、部署情况、分级中心、应用备份等情况，总结优劣势并形成调研报告。</w:t>
      </w:r>
    </w:p>
    <w:p>
      <w:pPr>
        <w:pStyle w:val="18"/>
      </w:pPr>
      <w:r>
        <w:rPr>
          <w:rFonts w:hint="eastAsia"/>
        </w:rPr>
        <w:t>统一身份认证应用情况调研</w:t>
      </w:r>
    </w:p>
    <w:p>
      <w:pPr>
        <w:pStyle w:val="27"/>
        <w:ind w:firstLineChars="0"/>
      </w:pPr>
      <w:r>
        <w:rPr>
          <w:rFonts w:hint="eastAsia" w:ascii="Times New Roman" w:hAnsi="Times New Roman" w:cs="Times New Roman"/>
          <w:lang w:val="en-US" w:eastAsia="zh-CN"/>
        </w:rPr>
        <w:t>中标人应</w:t>
      </w:r>
      <w:r>
        <w:rPr>
          <w:rFonts w:hint="eastAsia" w:ascii="Times New Roman" w:hAnsi="Times New Roman" w:cs="Times New Roman"/>
        </w:rPr>
        <w:t>根据国家相关规范及要求及第三方评估指标，广泛调研当前</w:t>
      </w:r>
      <w:r>
        <w:rPr>
          <w:rFonts w:hint="eastAsia"/>
        </w:rPr>
        <w:t>省统一身份认证平台</w:t>
      </w:r>
      <w:r>
        <w:rPr>
          <w:rFonts w:hint="eastAsia" w:ascii="Times New Roman" w:hAnsi="Times New Roman" w:cs="Times New Roman"/>
        </w:rPr>
        <w:t>应用现状，分析存在的问题。调研包括但不限于：（1）个人实名注册用户总量、用户活跃情况、用户信息完备情况；（2）企业实名注册用户总量、用户活跃情况；（3）自然人和法人的网上注册及认证功能的情况，（</w:t>
      </w:r>
      <w:r>
        <w:rPr>
          <w:rFonts w:ascii="Times New Roman" w:hAnsi="Times New Roman" w:cs="Times New Roman"/>
        </w:rPr>
        <w:t>4</w:t>
      </w:r>
      <w:r>
        <w:rPr>
          <w:rFonts w:hint="eastAsia" w:ascii="Times New Roman" w:hAnsi="Times New Roman" w:cs="Times New Roman"/>
        </w:rPr>
        <w:t>）身份认证单点登录情况等。同时，通过查阅文献资料、实地走访等多种渠道，调研省内2</w:t>
      </w:r>
      <w:r>
        <w:rPr>
          <w:rFonts w:hint="eastAsia" w:ascii="Times New Roman" w:hAnsi="Times New Roman" w:cs="Times New Roman"/>
          <w:lang w:val="en-US" w:eastAsia="zh-CN"/>
        </w:rPr>
        <w:t>~</w:t>
      </w:r>
      <w:r>
        <w:rPr>
          <w:rFonts w:hint="eastAsia" w:ascii="Times New Roman" w:hAnsi="Times New Roman" w:cs="Times New Roman"/>
        </w:rPr>
        <w:t>3个地市统一身份认证应用现状，并收集部分地市统一身份认证需求及规划等。</w:t>
      </w:r>
      <w:r>
        <w:rPr>
          <w:rFonts w:hint="eastAsia" w:ascii="Times New Roman" w:hAnsi="Times New Roman" w:cs="Times New Roman"/>
          <w:lang w:val="en-US" w:eastAsia="zh-CN"/>
        </w:rPr>
        <w:t>并</w:t>
      </w:r>
      <w:r>
        <w:rPr>
          <w:rFonts w:hint="eastAsia"/>
        </w:rPr>
        <w:t>通过整理总结，分析我省统一身份认证应用情况，形成调研报告。</w:t>
      </w:r>
    </w:p>
    <w:p>
      <w:pPr>
        <w:pStyle w:val="15"/>
      </w:pPr>
      <w:r>
        <w:rPr>
          <w:rFonts w:hint="eastAsia"/>
        </w:rPr>
        <w:t>省统一身份认证平台评估及优化建议</w:t>
      </w:r>
    </w:p>
    <w:p>
      <w:pPr>
        <w:pStyle w:val="18"/>
      </w:pPr>
      <w:r>
        <w:rPr>
          <w:rFonts w:hint="eastAsia"/>
        </w:rPr>
        <w:t>省统一身份认证平台合规诊断</w:t>
      </w:r>
    </w:p>
    <w:p>
      <w:pPr>
        <w:pStyle w:val="4"/>
        <w:ind w:firstLine="560"/>
        <w:rPr>
          <w:rFonts w:ascii="Times New Roman" w:hAnsi="Times New Roman"/>
          <w:kern w:val="0"/>
          <w:lang w:val="en-GB"/>
        </w:rPr>
      </w:pPr>
      <w:r>
        <w:rPr>
          <w:rFonts w:hint="eastAsia" w:ascii="Times New Roman" w:hAnsi="Times New Roman" w:eastAsia="仿宋_GB2312" w:cs="Times New Roman"/>
          <w:kern w:val="0"/>
          <w:szCs w:val="28"/>
          <w:lang w:val="en-US" w:eastAsia="zh-CN"/>
        </w:rPr>
        <w:t>中标人应</w:t>
      </w:r>
      <w:r>
        <w:rPr>
          <w:rFonts w:hint="eastAsia" w:ascii="Times New Roman" w:hAnsi="Times New Roman" w:eastAsia="仿宋_GB2312" w:cs="Times New Roman"/>
          <w:kern w:val="0"/>
          <w:szCs w:val="28"/>
          <w:lang w:val="en-GB"/>
        </w:rPr>
        <w:t>根据国家相关标准规范及第三方评估指标要求，结合调研情况，对省统一身份认证平台包括用户、账户体系的合规性、用户数据的完整性和存储、使用的安全性等方面进行合规性诊断，并形成评估报告。</w:t>
      </w:r>
    </w:p>
    <w:p>
      <w:pPr>
        <w:pStyle w:val="18"/>
      </w:pPr>
      <w:r>
        <w:rPr>
          <w:rFonts w:hint="eastAsia"/>
        </w:rPr>
        <w:t>省统一身份认证平台优化建议</w:t>
      </w:r>
    </w:p>
    <w:p>
      <w:pPr>
        <w:pStyle w:val="4"/>
        <w:ind w:firstLine="560"/>
        <w:rPr>
          <w:rFonts w:ascii="Times New Roman" w:hAnsi="Times New Roman"/>
          <w:kern w:val="0"/>
          <w:lang w:val="en-GB"/>
        </w:rPr>
      </w:pPr>
      <w:r>
        <w:rPr>
          <w:rFonts w:hint="eastAsia" w:ascii="Times New Roman" w:hAnsi="Times New Roman" w:eastAsia="仿宋_GB2312" w:cs="Times New Roman"/>
          <w:kern w:val="0"/>
          <w:szCs w:val="28"/>
          <w:lang w:val="en-US" w:eastAsia="zh-CN"/>
        </w:rPr>
        <w:t>中标人应</w:t>
      </w:r>
      <w:r>
        <w:rPr>
          <w:rFonts w:hint="eastAsia" w:ascii="Times New Roman" w:hAnsi="Times New Roman" w:eastAsia="仿宋_GB2312" w:cs="Times New Roman"/>
          <w:kern w:val="0"/>
          <w:szCs w:val="28"/>
          <w:lang w:val="en-GB"/>
        </w:rPr>
        <w:t>根据合规性诊断情况，借鉴国家平台优秀实践经验，对省统一身份认证平台业务架构、应用架构、数据架构、网络架构等设计及应用部署情况，提出具体的优化建议，提升平台性能、稳定性、安全性等。</w:t>
      </w:r>
    </w:p>
    <w:p>
      <w:pPr>
        <w:pStyle w:val="15"/>
      </w:pPr>
      <w:r>
        <w:rPr>
          <w:rFonts w:hint="eastAsia"/>
        </w:rPr>
        <w:t>编制省统一身份认证规划方案</w:t>
      </w:r>
    </w:p>
    <w:p>
      <w:pPr>
        <w:pStyle w:val="4"/>
        <w:ind w:firstLine="560"/>
        <w:rPr>
          <w:rFonts w:ascii="Times New Roman" w:hAnsi="Times New Roman" w:eastAsia="仿宋_GB2312"/>
          <w:kern w:val="0"/>
          <w:lang w:val="en-GB"/>
        </w:rPr>
      </w:pPr>
      <w:r>
        <w:rPr>
          <w:rFonts w:hint="eastAsia" w:ascii="Times New Roman" w:hAnsi="Times New Roman" w:eastAsia="仿宋_GB2312" w:cs="Times New Roman"/>
          <w:kern w:val="0"/>
          <w:szCs w:val="28"/>
          <w:lang w:val="en-US" w:eastAsia="zh-CN"/>
        </w:rPr>
        <w:t>在</w:t>
      </w:r>
      <w:r>
        <w:rPr>
          <w:rFonts w:hint="eastAsia" w:ascii="Times New Roman" w:hAnsi="Times New Roman" w:eastAsia="仿宋_GB2312" w:cs="Times New Roman"/>
          <w:kern w:val="0"/>
          <w:szCs w:val="28"/>
          <w:lang w:val="en-GB"/>
        </w:rPr>
        <w:t>深入学习贯彻习近平同志在深圳经济特区建立</w:t>
      </w:r>
      <w:r>
        <w:rPr>
          <w:rFonts w:ascii="Times New Roman" w:hAnsi="Times New Roman" w:eastAsia="仿宋_GB2312" w:cs="Times New Roman"/>
          <w:kern w:val="0"/>
          <w:szCs w:val="28"/>
          <w:lang w:val="en-GB"/>
        </w:rPr>
        <w:t>40</w:t>
      </w:r>
      <w:r>
        <w:rPr>
          <w:rFonts w:hint="eastAsia" w:ascii="Times New Roman" w:hAnsi="Times New Roman" w:eastAsia="仿宋_GB2312" w:cs="Times New Roman"/>
          <w:kern w:val="0"/>
          <w:szCs w:val="28"/>
          <w:lang w:val="en-GB"/>
        </w:rPr>
        <w:t>周年庆祝大会上的讲话精神</w:t>
      </w:r>
      <w:r>
        <w:rPr>
          <w:rFonts w:hint="eastAsia" w:ascii="Times New Roman" w:hAnsi="Times New Roman" w:eastAsia="仿宋_GB2312" w:cs="Times New Roman"/>
          <w:kern w:val="0"/>
          <w:szCs w:val="28"/>
          <w:lang w:val="en-GB" w:eastAsia="zh-CN"/>
        </w:rPr>
        <w:t>、</w:t>
      </w:r>
      <w:r>
        <w:rPr>
          <w:rFonts w:hint="eastAsia" w:ascii="Times New Roman" w:hAnsi="Times New Roman" w:eastAsia="仿宋_GB2312" w:cs="Times New Roman"/>
          <w:kern w:val="0"/>
          <w:szCs w:val="28"/>
          <w:lang w:val="en-GB"/>
        </w:rPr>
        <w:t>全面落实《广东省“数字政府”建设总体规划（</w:t>
      </w:r>
      <w:r>
        <w:rPr>
          <w:rFonts w:ascii="Times New Roman" w:hAnsi="Times New Roman" w:eastAsia="仿宋_GB2312" w:cs="Times New Roman"/>
          <w:kern w:val="0"/>
          <w:szCs w:val="28"/>
          <w:lang w:val="en-GB"/>
        </w:rPr>
        <w:t>2018-2020</w:t>
      </w:r>
      <w:r>
        <w:rPr>
          <w:rFonts w:hint="eastAsia" w:ascii="Times New Roman" w:hAnsi="Times New Roman" w:eastAsia="仿宋_GB2312" w:cs="Times New Roman"/>
          <w:kern w:val="0"/>
          <w:szCs w:val="28"/>
          <w:lang w:val="en-GB"/>
        </w:rPr>
        <w:t>年）》</w:t>
      </w:r>
      <w:r>
        <w:rPr>
          <w:rFonts w:hint="eastAsia" w:ascii="Times New Roman" w:hAnsi="Times New Roman" w:eastAsia="仿宋_GB2312" w:cs="Times New Roman"/>
          <w:kern w:val="0"/>
          <w:szCs w:val="28"/>
          <w:lang w:val="en-GB" w:eastAsia="zh-CN"/>
        </w:rPr>
        <w:t>、</w:t>
      </w:r>
      <w:r>
        <w:rPr>
          <w:rFonts w:hint="eastAsia" w:ascii="Times New Roman" w:hAnsi="Times New Roman" w:eastAsia="仿宋_GB2312" w:cs="Times New Roman"/>
          <w:kern w:val="0"/>
          <w:szCs w:val="28"/>
          <w:lang w:val="en-GB"/>
        </w:rPr>
        <w:t>坚定不移推动“一网通办”“深入推进粤港澳大湾区建设”等指导方针落地</w:t>
      </w:r>
      <w:r>
        <w:rPr>
          <w:rFonts w:hint="eastAsia" w:ascii="Times New Roman" w:hAnsi="Times New Roman" w:eastAsia="仿宋_GB2312" w:cs="Times New Roman"/>
          <w:kern w:val="0"/>
          <w:szCs w:val="28"/>
          <w:lang w:val="en-US" w:eastAsia="zh-CN"/>
        </w:rPr>
        <w:t>的基础上</w:t>
      </w:r>
      <w:r>
        <w:rPr>
          <w:rFonts w:hint="eastAsia" w:ascii="Times New Roman" w:hAnsi="Times New Roman" w:eastAsia="仿宋_GB2312" w:cs="Times New Roman"/>
          <w:kern w:val="0"/>
          <w:szCs w:val="28"/>
          <w:lang w:val="en-GB"/>
        </w:rPr>
        <w:t>，</w:t>
      </w:r>
      <w:r>
        <w:rPr>
          <w:rFonts w:hint="eastAsia" w:ascii="Times New Roman" w:hAnsi="Times New Roman" w:eastAsia="仿宋_GB2312" w:cs="Times New Roman"/>
          <w:kern w:val="0"/>
          <w:szCs w:val="28"/>
          <w:lang w:val="en-US" w:eastAsia="zh-CN"/>
        </w:rPr>
        <w:t>中标人应</w:t>
      </w:r>
      <w:r>
        <w:rPr>
          <w:rFonts w:hint="eastAsia" w:ascii="Times New Roman" w:hAnsi="Times New Roman" w:eastAsia="仿宋_GB2312" w:cs="Times New Roman"/>
          <w:kern w:val="0"/>
          <w:szCs w:val="28"/>
          <w:lang w:val="en-GB"/>
        </w:rPr>
        <w:t>结合广东省市两级统一身份认证发展现状及省级平台建设成果，系统规划</w:t>
      </w:r>
      <w:r>
        <w:rPr>
          <w:rFonts w:hint="eastAsia" w:ascii="Times New Roman" w:hAnsi="Times New Roman" w:eastAsia="仿宋_GB2312" w:cs="Times New Roman"/>
          <w:kern w:val="0"/>
          <w:szCs w:val="28"/>
          <w:lang w:val="en-US" w:eastAsia="zh-CN"/>
        </w:rPr>
        <w:t>我</w:t>
      </w:r>
      <w:r>
        <w:rPr>
          <w:rFonts w:hint="eastAsia" w:ascii="Times New Roman" w:hAnsi="Times New Roman" w:eastAsia="仿宋_GB2312" w:cs="Times New Roman"/>
          <w:kern w:val="0"/>
          <w:szCs w:val="28"/>
          <w:lang w:val="en-GB"/>
        </w:rPr>
        <w:t>省统一身份认证平台应用功能和运营服务管理，保持</w:t>
      </w:r>
      <w:r>
        <w:rPr>
          <w:rFonts w:hint="eastAsia" w:ascii="Times New Roman" w:hAnsi="Times New Roman" w:eastAsia="仿宋_GB2312" w:cs="Times New Roman"/>
          <w:kern w:val="0"/>
          <w:szCs w:val="28"/>
          <w:lang w:val="en-US" w:eastAsia="zh-CN"/>
        </w:rPr>
        <w:t>我</w:t>
      </w:r>
      <w:r>
        <w:rPr>
          <w:rFonts w:hint="eastAsia" w:ascii="Times New Roman" w:hAnsi="Times New Roman" w:eastAsia="仿宋_GB2312" w:cs="Times New Roman"/>
          <w:kern w:val="0"/>
          <w:szCs w:val="28"/>
          <w:lang w:val="en-GB"/>
        </w:rPr>
        <w:t>省统一身份认证平台能力全国领先水平</w:t>
      </w:r>
      <w:r>
        <w:rPr>
          <w:rFonts w:hint="eastAsia" w:ascii="Times New Roman" w:hAnsi="Times New Roman" w:eastAsia="仿宋_GB2312" w:cs="Times New Roman"/>
          <w:kern w:val="0"/>
          <w:szCs w:val="28"/>
          <w:lang w:val="en-GB" w:eastAsia="zh-CN"/>
        </w:rPr>
        <w:t>，</w:t>
      </w:r>
      <w:r>
        <w:rPr>
          <w:rFonts w:hint="eastAsia" w:ascii="Times New Roman" w:hAnsi="Times New Roman" w:eastAsia="仿宋_GB2312" w:cs="Times New Roman"/>
          <w:kern w:val="0"/>
          <w:szCs w:val="28"/>
          <w:lang w:val="en-US" w:eastAsia="zh-CN"/>
        </w:rPr>
        <w:t>并形成规划方案。</w:t>
      </w:r>
    </w:p>
    <w:p>
      <w:pPr>
        <w:pStyle w:val="15"/>
      </w:pPr>
      <w:r>
        <w:rPr>
          <w:rFonts w:hint="eastAsia"/>
        </w:rPr>
        <w:t>解读国家标准规范及指导培训</w:t>
      </w:r>
    </w:p>
    <w:p>
      <w:pPr>
        <w:pStyle w:val="27"/>
        <w:ind w:firstLineChars="0"/>
        <w:rPr>
          <w:rFonts w:ascii="Times New Roman" w:hAnsi="Times New Roman"/>
        </w:rPr>
      </w:pPr>
      <w:r>
        <w:rPr>
          <w:rFonts w:hint="eastAsia" w:ascii="Times New Roman" w:hAnsi="Times New Roman" w:cs="Times New Roman"/>
          <w:lang w:val="en-US" w:eastAsia="zh-CN"/>
        </w:rPr>
        <w:t>中标人应</w:t>
      </w:r>
      <w:r>
        <w:rPr>
          <w:rFonts w:hint="eastAsia" w:ascii="Times New Roman" w:hAnsi="Times New Roman" w:cs="Times New Roman"/>
        </w:rPr>
        <w:t>深入解读《国家政务服务平台统一身份认证系统身份认证技术要求》、《国家政务服务平台统一身份认证系统接入要求》、《国家政务服务平台统一身份认证隐私保护要求》等相关标准规范及第三方评估指标要求，加强对相关技术人员培训，主要包括数据有效性校验规则及数据统计规则解读等。同时，指导相关技术人员按照标准规范要求进行自然人、法人的用户数据治理，对数据报送流程规范性进行技术指导，提升工作效率及数据治理质量。</w:t>
      </w:r>
    </w:p>
    <w:p>
      <w:pPr>
        <w:pStyle w:val="15"/>
      </w:pPr>
      <w:r>
        <w:rPr>
          <w:rFonts w:hint="eastAsia"/>
        </w:rPr>
        <w:t>协助推进省统一身份认证推广工作</w:t>
      </w:r>
    </w:p>
    <w:p>
      <w:pPr>
        <w:pStyle w:val="27"/>
        <w:ind w:firstLineChars="0"/>
        <w:rPr>
          <w:rFonts w:ascii="Times New Roman" w:hAnsi="Times New Roman"/>
        </w:rPr>
      </w:pPr>
      <w:r>
        <w:rPr>
          <w:rFonts w:hint="eastAsia" w:ascii="Times New Roman" w:hAnsi="Times New Roman" w:cs="Times New Roman"/>
        </w:rPr>
        <w:t>中标人协助采购人推进省统一身份认证推广工作，</w:t>
      </w:r>
      <w:r>
        <w:rPr>
          <w:rFonts w:hint="eastAsia" w:ascii="Times New Roman" w:hAnsi="Times New Roman" w:cs="Times New Roman"/>
          <w:b/>
          <w:bCs/>
        </w:rPr>
        <w:t>一是</w:t>
      </w:r>
      <w:r>
        <w:rPr>
          <w:rFonts w:hint="eastAsia" w:ascii="Times New Roman" w:hAnsi="Times New Roman" w:cs="Times New Roman"/>
        </w:rPr>
        <w:t>对于个人服务、法人服务等办理事项、重点应用的“一网通办”给予技术指导；</w:t>
      </w:r>
      <w:r>
        <w:rPr>
          <w:rFonts w:hint="eastAsia" w:ascii="Times New Roman" w:hAnsi="Times New Roman" w:cs="Times New Roman"/>
          <w:b/>
          <w:bCs/>
        </w:rPr>
        <w:t>二是</w:t>
      </w:r>
      <w:r>
        <w:rPr>
          <w:rFonts w:hint="eastAsia" w:ascii="Times New Roman" w:hAnsi="Times New Roman" w:cs="Times New Roman"/>
        </w:rPr>
        <w:t>分析推广中存在的问题，提出改进建议；</w:t>
      </w:r>
      <w:r>
        <w:rPr>
          <w:rFonts w:hint="eastAsia" w:ascii="Times New Roman" w:hAnsi="Times New Roman" w:cs="Times New Roman"/>
          <w:b/>
          <w:bCs/>
        </w:rPr>
        <w:t>三是</w:t>
      </w:r>
      <w:r>
        <w:rPr>
          <w:rFonts w:hint="eastAsia" w:ascii="Times New Roman" w:hAnsi="Times New Roman" w:cs="Times New Roman"/>
        </w:rPr>
        <w:t>及时跟踪掌握省内“一网通办”、场景化应用、各地市身份认证机制创新等情况，总结省统一身份认证应用成效，形成推广总结报告，输出</w:t>
      </w:r>
      <w:r>
        <w:rPr>
          <w:rFonts w:hint="eastAsia" w:ascii="Times New Roman" w:hAnsi="Times New Roman" w:cs="Times New Roman"/>
          <w:lang w:eastAsia="zh-CN"/>
        </w:rPr>
        <w:t>“</w:t>
      </w:r>
      <w:r>
        <w:rPr>
          <w:rFonts w:hint="eastAsia" w:ascii="Times New Roman" w:hAnsi="Times New Roman" w:cs="Times New Roman"/>
        </w:rPr>
        <w:t>广东经验</w:t>
      </w:r>
      <w:r>
        <w:rPr>
          <w:rFonts w:hint="eastAsia" w:ascii="Times New Roman" w:hAnsi="Times New Roman" w:cs="Times New Roman"/>
          <w:lang w:eastAsia="zh-CN"/>
        </w:rPr>
        <w:t>”</w:t>
      </w:r>
      <w:r>
        <w:rPr>
          <w:rFonts w:hint="eastAsia" w:ascii="Times New Roman" w:hAnsi="Times New Roman" w:cs="Times New Roman"/>
        </w:rPr>
        <w:t>。</w:t>
      </w:r>
    </w:p>
    <w:p>
      <w:pPr>
        <w:pStyle w:val="17"/>
        <w:rPr>
          <w:rFonts w:ascii="Times New Roman" w:hAnsi="Times New Roman"/>
        </w:rPr>
      </w:pPr>
      <w:r>
        <w:rPr>
          <w:rFonts w:ascii="Times New Roman" w:hAnsi="Times New Roman"/>
        </w:rPr>
        <w:t>服务要求</w:t>
      </w:r>
    </w:p>
    <w:p>
      <w:pPr>
        <w:pStyle w:val="15"/>
      </w:pPr>
      <w:r>
        <w:rPr>
          <w:rFonts w:hint="eastAsia"/>
        </w:rPr>
        <w:t>服务成果要求</w:t>
      </w:r>
    </w:p>
    <w:p>
      <w:pPr>
        <w:pStyle w:val="4"/>
        <w:ind w:firstLine="560"/>
        <w:rPr>
          <w:rFonts w:ascii="Times New Roman" w:hAnsi="Times New Roman" w:eastAsia="仿宋_GB2312" w:cs="Times New Roman"/>
          <w:kern w:val="0"/>
          <w:szCs w:val="28"/>
          <w:lang w:val="en-GB"/>
        </w:rPr>
      </w:pPr>
      <w:r>
        <w:rPr>
          <w:rFonts w:hint="eastAsia" w:ascii="Times New Roman" w:hAnsi="Times New Roman" w:eastAsia="仿宋_GB2312" w:cs="Times New Roman"/>
          <w:kern w:val="0"/>
          <w:szCs w:val="28"/>
          <w:lang w:val="en-GB"/>
        </w:rPr>
        <w:t>本服务项目的主要交付成果及时间要求：</w:t>
      </w:r>
    </w:p>
    <w:tbl>
      <w:tblPr>
        <w:tblStyle w:val="2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627"/>
        <w:gridCol w:w="3686"/>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Borders>
              <w:bottom w:val="single" w:color="666666" w:themeColor="text1" w:themeTint="99" w:sz="12" w:space="0"/>
              <w:insideH w:val="single" w:sz="12" w:space="0"/>
            </w:tcBorders>
            <w:shd w:val="clear" w:color="auto" w:fill="D8D8D8" w:themeFill="background1" w:themeFillShade="D9"/>
          </w:tcPr>
          <w:p>
            <w:pPr>
              <w:pStyle w:val="4"/>
              <w:ind w:firstLine="0" w:firstLineChars="0"/>
              <w:jc w:val="center"/>
              <w:rPr>
                <w:rFonts w:ascii="Times New Roman" w:hAnsi="Times New Roman" w:eastAsia="仿宋_GB2312" w:cs="Times New Roman"/>
                <w:b w:val="0"/>
                <w:bCs w:val="0"/>
                <w:kern w:val="0"/>
                <w:szCs w:val="28"/>
                <w:lang w:val="en-GB"/>
              </w:rPr>
            </w:pPr>
            <w:r>
              <w:rPr>
                <w:rFonts w:hint="eastAsia" w:ascii="Times New Roman" w:hAnsi="Times New Roman" w:eastAsia="仿宋_GB2312" w:cs="Times New Roman"/>
                <w:b/>
                <w:bCs/>
                <w:kern w:val="0"/>
                <w:szCs w:val="28"/>
                <w:lang w:val="en-GB"/>
              </w:rPr>
              <w:t>序号</w:t>
            </w:r>
          </w:p>
        </w:tc>
        <w:tc>
          <w:tcPr>
            <w:tcW w:w="2627" w:type="dxa"/>
            <w:tcBorders>
              <w:bottom w:val="single" w:color="666666" w:themeColor="text1" w:themeTint="99" w:sz="12" w:space="0"/>
              <w:insideH w:val="single" w:sz="12" w:space="0"/>
            </w:tcBorders>
            <w:shd w:val="clear" w:color="auto" w:fill="D8D8D8" w:themeFill="background1" w:themeFillShade="D9"/>
          </w:tcPr>
          <w:p>
            <w:pPr>
              <w:pStyle w:val="4"/>
              <w:ind w:firstLine="0" w:firstLineChars="0"/>
              <w:jc w:val="center"/>
              <w:rPr>
                <w:rFonts w:ascii="Times New Roman" w:hAnsi="Times New Roman" w:eastAsia="仿宋_GB2312" w:cs="Times New Roman"/>
                <w:b/>
                <w:bCs/>
                <w:kern w:val="0"/>
                <w:szCs w:val="28"/>
                <w:lang w:val="en-GB"/>
              </w:rPr>
            </w:pPr>
            <w:r>
              <w:rPr>
                <w:rFonts w:hint="eastAsia" w:ascii="Times New Roman" w:hAnsi="Times New Roman" w:eastAsia="仿宋_GB2312" w:cs="Times New Roman"/>
                <w:b/>
                <w:bCs/>
                <w:kern w:val="0"/>
                <w:szCs w:val="28"/>
                <w:lang w:val="en-GB"/>
              </w:rPr>
              <w:t>服务内容</w:t>
            </w:r>
          </w:p>
        </w:tc>
        <w:tc>
          <w:tcPr>
            <w:tcW w:w="3686" w:type="dxa"/>
            <w:tcBorders>
              <w:bottom w:val="single" w:color="666666" w:themeColor="text1" w:themeTint="99" w:sz="12" w:space="0"/>
              <w:insideH w:val="single" w:sz="12" w:space="0"/>
            </w:tcBorders>
            <w:shd w:val="clear" w:color="auto" w:fill="D8D8D8" w:themeFill="background1" w:themeFillShade="D9"/>
          </w:tcPr>
          <w:p>
            <w:pPr>
              <w:pStyle w:val="4"/>
              <w:ind w:firstLine="0" w:firstLineChars="0"/>
              <w:jc w:val="center"/>
              <w:rPr>
                <w:rFonts w:ascii="Times New Roman" w:hAnsi="Times New Roman" w:eastAsia="仿宋_GB2312" w:cs="Times New Roman"/>
                <w:b w:val="0"/>
                <w:bCs w:val="0"/>
                <w:kern w:val="0"/>
                <w:szCs w:val="28"/>
                <w:lang w:val="en-GB"/>
              </w:rPr>
            </w:pPr>
            <w:r>
              <w:rPr>
                <w:rFonts w:hint="eastAsia" w:ascii="Times New Roman" w:hAnsi="Times New Roman" w:eastAsia="仿宋_GB2312" w:cs="Times New Roman"/>
                <w:b/>
                <w:bCs/>
                <w:kern w:val="0"/>
                <w:szCs w:val="28"/>
                <w:lang w:val="en-GB"/>
              </w:rPr>
              <w:t>服务成果</w:t>
            </w:r>
          </w:p>
        </w:tc>
        <w:tc>
          <w:tcPr>
            <w:tcW w:w="1835" w:type="dxa"/>
            <w:tcBorders>
              <w:bottom w:val="single" w:color="666666" w:themeColor="text1" w:themeTint="99" w:sz="12" w:space="0"/>
              <w:insideH w:val="single" w:sz="12" w:space="0"/>
            </w:tcBorders>
            <w:shd w:val="clear" w:color="auto" w:fill="D8D8D8" w:themeFill="background1" w:themeFillShade="D9"/>
          </w:tcPr>
          <w:p>
            <w:pPr>
              <w:pStyle w:val="4"/>
              <w:ind w:firstLine="0" w:firstLineChars="0"/>
              <w:jc w:val="center"/>
              <w:rPr>
                <w:rFonts w:ascii="Times New Roman" w:hAnsi="Times New Roman" w:eastAsia="仿宋_GB2312" w:cs="Times New Roman"/>
                <w:b w:val="0"/>
                <w:bCs w:val="0"/>
                <w:kern w:val="0"/>
                <w:szCs w:val="28"/>
                <w:lang w:val="en-GB"/>
              </w:rPr>
            </w:pPr>
            <w:r>
              <w:rPr>
                <w:rFonts w:hint="eastAsia" w:ascii="Times New Roman" w:hAnsi="Times New Roman" w:eastAsia="仿宋_GB2312" w:cs="Times New Roman"/>
                <w:b/>
                <w:bCs/>
                <w:kern w:val="0"/>
                <w:szCs w:val="28"/>
                <w:lang w:val="en-GB"/>
              </w:rPr>
              <w:t>时间要求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pPr>
              <w:pStyle w:val="4"/>
              <w:ind w:firstLine="0" w:firstLineChars="0"/>
              <w:jc w:val="center"/>
              <w:rPr>
                <w:rFonts w:ascii="Times New Roman" w:hAnsi="Times New Roman" w:eastAsia="仿宋_GB2312" w:cs="Times New Roman"/>
                <w:b w:val="0"/>
                <w:bCs w:val="0"/>
                <w:kern w:val="0"/>
                <w:szCs w:val="28"/>
                <w:lang w:val="en-GB"/>
              </w:rPr>
            </w:pPr>
            <w:r>
              <w:rPr>
                <w:rFonts w:hint="eastAsia" w:ascii="Times New Roman" w:hAnsi="Times New Roman" w:eastAsia="仿宋_GB2312" w:cs="Times New Roman"/>
                <w:b/>
                <w:bCs/>
                <w:kern w:val="0"/>
                <w:szCs w:val="28"/>
                <w:lang w:val="en-GB"/>
              </w:rPr>
              <w:t>1</w:t>
            </w:r>
          </w:p>
        </w:tc>
        <w:tc>
          <w:tcPr>
            <w:tcW w:w="2627" w:type="dxa"/>
          </w:tcPr>
          <w:p>
            <w:pPr>
              <w:pStyle w:val="4"/>
              <w:ind w:firstLine="0" w:firstLineChars="0"/>
              <w:rPr>
                <w:rFonts w:ascii="Times New Roman" w:hAnsi="Times New Roman" w:eastAsia="仿宋_GB2312" w:cs="Times New Roman"/>
                <w:kern w:val="0"/>
                <w:szCs w:val="28"/>
                <w:lang w:val="en-GB"/>
              </w:rPr>
            </w:pPr>
            <w:r>
              <w:rPr>
                <w:rFonts w:hint="eastAsia" w:ascii="Times New Roman" w:hAnsi="Times New Roman" w:eastAsia="仿宋_GB2312" w:cs="Times New Roman"/>
                <w:kern w:val="0"/>
                <w:szCs w:val="28"/>
                <w:lang w:val="en-GB"/>
              </w:rPr>
              <w:t>统一身份认证平台调研</w:t>
            </w:r>
          </w:p>
        </w:tc>
        <w:tc>
          <w:tcPr>
            <w:tcW w:w="3686" w:type="dxa"/>
          </w:tcPr>
          <w:p>
            <w:pPr>
              <w:pStyle w:val="4"/>
              <w:ind w:firstLine="0" w:firstLineChars="0"/>
              <w:rPr>
                <w:rFonts w:ascii="Times New Roman" w:hAnsi="Times New Roman" w:eastAsia="仿宋_GB2312" w:cs="Times New Roman"/>
                <w:kern w:val="0"/>
                <w:szCs w:val="28"/>
                <w:lang w:val="en-GB"/>
              </w:rPr>
            </w:pPr>
            <w:r>
              <w:rPr>
                <w:rFonts w:hint="eastAsia" w:ascii="Times New Roman" w:hAnsi="Times New Roman" w:eastAsia="仿宋_GB2312" w:cs="Times New Roman"/>
                <w:kern w:val="0"/>
                <w:szCs w:val="28"/>
                <w:lang w:val="en-GB"/>
              </w:rPr>
              <w:t>统一身份认证平台调研报告</w:t>
            </w:r>
          </w:p>
        </w:tc>
        <w:tc>
          <w:tcPr>
            <w:tcW w:w="1835" w:type="dxa"/>
          </w:tcPr>
          <w:p>
            <w:pPr>
              <w:pStyle w:val="4"/>
              <w:ind w:firstLine="0" w:firstLineChars="0"/>
              <w:rPr>
                <w:rFonts w:hint="eastAsia" w:ascii="Times New Roman" w:hAnsi="Times New Roman" w:eastAsia="仿宋_GB2312" w:cs="Times New Roman"/>
                <w:kern w:val="0"/>
                <w:szCs w:val="28"/>
                <w:lang w:val="en-US" w:eastAsia="zh-CN"/>
              </w:rPr>
            </w:pPr>
            <w:r>
              <w:rPr>
                <w:rFonts w:hint="eastAsia" w:ascii="Times New Roman" w:hAnsi="Times New Roman" w:eastAsia="仿宋_GB2312" w:cs="Times New Roman"/>
                <w:kern w:val="0"/>
                <w:szCs w:val="28"/>
                <w:lang w:val="en-GB"/>
              </w:rPr>
              <w:t>自合同签订之日起2个月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pPr>
              <w:pStyle w:val="4"/>
              <w:ind w:firstLine="0" w:firstLineChars="0"/>
              <w:jc w:val="center"/>
              <w:rPr>
                <w:rFonts w:ascii="Times New Roman" w:hAnsi="Times New Roman" w:eastAsia="仿宋_GB2312" w:cs="Times New Roman"/>
                <w:b w:val="0"/>
                <w:bCs w:val="0"/>
                <w:kern w:val="0"/>
                <w:szCs w:val="28"/>
                <w:lang w:val="en-GB"/>
              </w:rPr>
            </w:pPr>
            <w:r>
              <w:rPr>
                <w:rFonts w:hint="eastAsia" w:ascii="Times New Roman" w:hAnsi="Times New Roman" w:eastAsia="仿宋_GB2312" w:cs="Times New Roman"/>
                <w:b/>
                <w:bCs/>
                <w:kern w:val="0"/>
                <w:szCs w:val="28"/>
                <w:lang w:val="en-GB"/>
              </w:rPr>
              <w:t>2</w:t>
            </w:r>
          </w:p>
        </w:tc>
        <w:tc>
          <w:tcPr>
            <w:tcW w:w="2627" w:type="dxa"/>
          </w:tcPr>
          <w:p>
            <w:pPr>
              <w:pStyle w:val="4"/>
              <w:ind w:firstLine="0" w:firstLineChars="0"/>
              <w:rPr>
                <w:rFonts w:ascii="Times New Roman" w:hAnsi="Times New Roman" w:eastAsia="仿宋_GB2312" w:cs="Times New Roman"/>
                <w:kern w:val="0"/>
                <w:szCs w:val="28"/>
                <w:lang w:val="en-GB"/>
              </w:rPr>
            </w:pPr>
            <w:r>
              <w:rPr>
                <w:rFonts w:hint="eastAsia" w:ascii="Times New Roman" w:hAnsi="Times New Roman" w:eastAsia="仿宋_GB2312" w:cs="Times New Roman"/>
                <w:kern w:val="0"/>
                <w:szCs w:val="28"/>
                <w:lang w:val="en-GB"/>
              </w:rPr>
              <w:t>统一身份认证应用情况调研</w:t>
            </w:r>
          </w:p>
        </w:tc>
        <w:tc>
          <w:tcPr>
            <w:tcW w:w="3686" w:type="dxa"/>
          </w:tcPr>
          <w:p>
            <w:pPr>
              <w:pStyle w:val="4"/>
              <w:ind w:firstLine="0" w:firstLineChars="0"/>
              <w:rPr>
                <w:rFonts w:ascii="Times New Roman" w:hAnsi="Times New Roman" w:eastAsia="仿宋_GB2312" w:cs="Times New Roman"/>
                <w:kern w:val="0"/>
                <w:szCs w:val="28"/>
                <w:lang w:val="en-GB"/>
              </w:rPr>
            </w:pPr>
            <w:r>
              <w:rPr>
                <w:rFonts w:hint="eastAsia" w:ascii="Times New Roman" w:hAnsi="Times New Roman" w:eastAsia="仿宋_GB2312" w:cs="Times New Roman"/>
                <w:kern w:val="0"/>
                <w:szCs w:val="28"/>
                <w:lang w:val="en-GB"/>
              </w:rPr>
              <w:t>统一身份认证应用情况调研报告</w:t>
            </w:r>
          </w:p>
        </w:tc>
        <w:tc>
          <w:tcPr>
            <w:tcW w:w="1835" w:type="dxa"/>
          </w:tcPr>
          <w:p>
            <w:pPr>
              <w:pStyle w:val="4"/>
              <w:ind w:firstLine="0" w:firstLineChars="0"/>
              <w:rPr>
                <w:rFonts w:ascii="Times New Roman" w:hAnsi="Times New Roman" w:eastAsia="仿宋_GB2312" w:cs="Times New Roman"/>
                <w:kern w:val="0"/>
                <w:szCs w:val="28"/>
                <w:lang w:val="en-GB"/>
              </w:rPr>
            </w:pPr>
            <w:r>
              <w:rPr>
                <w:rFonts w:hint="eastAsia" w:ascii="Times New Roman" w:hAnsi="Times New Roman" w:eastAsia="仿宋_GB2312" w:cs="Times New Roman"/>
                <w:kern w:val="0"/>
                <w:szCs w:val="28"/>
                <w:lang w:val="en-GB"/>
              </w:rPr>
              <w:t>自合同签订之日起</w:t>
            </w:r>
            <w:r>
              <w:rPr>
                <w:rFonts w:ascii="Times New Roman" w:hAnsi="Times New Roman" w:eastAsia="仿宋_GB2312" w:cs="Times New Roman"/>
                <w:kern w:val="0"/>
                <w:szCs w:val="28"/>
                <w:lang w:val="en-GB"/>
              </w:rPr>
              <w:t>3</w:t>
            </w:r>
            <w:r>
              <w:rPr>
                <w:rFonts w:hint="eastAsia" w:ascii="Times New Roman" w:hAnsi="Times New Roman" w:eastAsia="仿宋_GB2312" w:cs="Times New Roman"/>
                <w:kern w:val="0"/>
                <w:szCs w:val="28"/>
                <w:lang w:val="en-GB"/>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pPr>
              <w:pStyle w:val="4"/>
              <w:ind w:firstLine="0" w:firstLineChars="0"/>
              <w:jc w:val="center"/>
              <w:rPr>
                <w:rFonts w:ascii="Times New Roman" w:hAnsi="Times New Roman" w:eastAsia="仿宋_GB2312" w:cs="Times New Roman"/>
                <w:b w:val="0"/>
                <w:bCs w:val="0"/>
                <w:kern w:val="0"/>
                <w:szCs w:val="28"/>
                <w:lang w:val="en-GB"/>
              </w:rPr>
            </w:pPr>
            <w:r>
              <w:rPr>
                <w:rFonts w:hint="eastAsia" w:ascii="Times New Roman" w:hAnsi="Times New Roman" w:eastAsia="仿宋_GB2312" w:cs="Times New Roman"/>
                <w:b/>
                <w:bCs/>
                <w:kern w:val="0"/>
                <w:szCs w:val="28"/>
                <w:lang w:val="en-GB"/>
              </w:rPr>
              <w:t>3</w:t>
            </w:r>
          </w:p>
        </w:tc>
        <w:tc>
          <w:tcPr>
            <w:tcW w:w="2627" w:type="dxa"/>
          </w:tcPr>
          <w:p>
            <w:pPr>
              <w:pStyle w:val="4"/>
              <w:ind w:firstLine="0" w:firstLineChars="0"/>
              <w:rPr>
                <w:rFonts w:ascii="Times New Roman" w:hAnsi="Times New Roman" w:eastAsia="仿宋_GB2312" w:cs="Times New Roman"/>
                <w:kern w:val="0"/>
                <w:szCs w:val="28"/>
                <w:lang w:val="en-GB"/>
              </w:rPr>
            </w:pPr>
            <w:r>
              <w:rPr>
                <w:rFonts w:hint="eastAsia" w:ascii="Times New Roman" w:hAnsi="Times New Roman" w:eastAsia="仿宋_GB2312" w:cs="Times New Roman"/>
                <w:kern w:val="0"/>
                <w:szCs w:val="28"/>
                <w:lang w:val="en-GB"/>
              </w:rPr>
              <w:t>省统一身份认证平台合规诊断、优化建议</w:t>
            </w:r>
          </w:p>
        </w:tc>
        <w:tc>
          <w:tcPr>
            <w:tcW w:w="3686" w:type="dxa"/>
          </w:tcPr>
          <w:p>
            <w:pPr>
              <w:pStyle w:val="4"/>
              <w:ind w:firstLine="0" w:firstLineChars="0"/>
              <w:rPr>
                <w:rFonts w:ascii="Times New Roman" w:hAnsi="Times New Roman" w:eastAsia="仿宋_GB2312" w:cs="Times New Roman"/>
                <w:kern w:val="0"/>
                <w:szCs w:val="28"/>
                <w:lang w:val="en-GB"/>
              </w:rPr>
            </w:pPr>
            <w:r>
              <w:rPr>
                <w:rFonts w:hint="eastAsia" w:ascii="Times New Roman" w:hAnsi="Times New Roman" w:eastAsia="仿宋_GB2312" w:cs="Times New Roman"/>
                <w:kern w:val="0"/>
                <w:szCs w:val="28"/>
                <w:lang w:val="en-GB"/>
              </w:rPr>
              <w:t>省统一身份认证平台评估报告</w:t>
            </w:r>
          </w:p>
        </w:tc>
        <w:tc>
          <w:tcPr>
            <w:tcW w:w="1835" w:type="dxa"/>
          </w:tcPr>
          <w:p>
            <w:pPr>
              <w:pStyle w:val="4"/>
              <w:ind w:firstLine="0" w:firstLineChars="0"/>
              <w:rPr>
                <w:rFonts w:ascii="Times New Roman" w:hAnsi="Times New Roman" w:eastAsia="仿宋_GB2312" w:cs="Times New Roman"/>
                <w:kern w:val="0"/>
                <w:szCs w:val="28"/>
                <w:lang w:val="en-GB"/>
              </w:rPr>
            </w:pPr>
            <w:r>
              <w:rPr>
                <w:rFonts w:hint="eastAsia" w:ascii="Times New Roman" w:hAnsi="Times New Roman" w:eastAsia="仿宋_GB2312" w:cs="Times New Roman"/>
                <w:kern w:val="0"/>
                <w:szCs w:val="28"/>
                <w:lang w:val="en-GB"/>
              </w:rPr>
              <w:t>自合同签订之日起</w:t>
            </w:r>
            <w:r>
              <w:rPr>
                <w:rFonts w:ascii="Times New Roman" w:hAnsi="Times New Roman" w:eastAsia="仿宋_GB2312" w:cs="Times New Roman"/>
                <w:kern w:val="0"/>
                <w:szCs w:val="28"/>
                <w:lang w:val="en-GB"/>
              </w:rPr>
              <w:t>4</w:t>
            </w:r>
            <w:r>
              <w:rPr>
                <w:rFonts w:hint="eastAsia" w:ascii="Times New Roman" w:hAnsi="Times New Roman" w:eastAsia="仿宋_GB2312" w:cs="Times New Roman"/>
                <w:kern w:val="0"/>
                <w:szCs w:val="28"/>
                <w:lang w:val="en-GB"/>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pPr>
              <w:pStyle w:val="4"/>
              <w:ind w:firstLine="0" w:firstLineChars="0"/>
              <w:jc w:val="center"/>
              <w:rPr>
                <w:rFonts w:ascii="Times New Roman" w:hAnsi="Times New Roman" w:eastAsia="仿宋_GB2312" w:cs="Times New Roman"/>
                <w:b w:val="0"/>
                <w:bCs w:val="0"/>
                <w:kern w:val="0"/>
                <w:szCs w:val="28"/>
                <w:lang w:val="en-GB"/>
              </w:rPr>
            </w:pPr>
            <w:r>
              <w:rPr>
                <w:rFonts w:hint="eastAsia" w:ascii="Times New Roman" w:hAnsi="Times New Roman" w:eastAsia="仿宋_GB2312" w:cs="Times New Roman"/>
                <w:b/>
                <w:bCs/>
                <w:kern w:val="0"/>
                <w:szCs w:val="28"/>
                <w:lang w:val="en-GB"/>
              </w:rPr>
              <w:t>4</w:t>
            </w:r>
          </w:p>
        </w:tc>
        <w:tc>
          <w:tcPr>
            <w:tcW w:w="2627" w:type="dxa"/>
          </w:tcPr>
          <w:p>
            <w:pPr>
              <w:pStyle w:val="4"/>
              <w:ind w:firstLine="0" w:firstLineChars="0"/>
              <w:rPr>
                <w:rFonts w:ascii="Times New Roman" w:hAnsi="Times New Roman" w:eastAsia="仿宋_GB2312" w:cs="Times New Roman"/>
                <w:kern w:val="0"/>
                <w:szCs w:val="28"/>
                <w:lang w:val="en-GB"/>
              </w:rPr>
            </w:pPr>
            <w:r>
              <w:rPr>
                <w:rFonts w:hint="eastAsia" w:ascii="Times New Roman" w:hAnsi="Times New Roman" w:eastAsia="仿宋_GB2312" w:cs="Times New Roman"/>
                <w:kern w:val="0"/>
                <w:szCs w:val="28"/>
                <w:lang w:val="en-GB"/>
              </w:rPr>
              <w:t>编制省统一身份认证整体规划</w:t>
            </w:r>
          </w:p>
        </w:tc>
        <w:tc>
          <w:tcPr>
            <w:tcW w:w="3686" w:type="dxa"/>
          </w:tcPr>
          <w:p>
            <w:pPr>
              <w:pStyle w:val="4"/>
              <w:ind w:firstLine="0" w:firstLineChars="0"/>
              <w:rPr>
                <w:rFonts w:ascii="Times New Roman" w:hAnsi="Times New Roman" w:eastAsia="仿宋_GB2312" w:cs="Times New Roman"/>
                <w:kern w:val="0"/>
                <w:szCs w:val="28"/>
                <w:lang w:val="en-GB"/>
              </w:rPr>
            </w:pPr>
            <w:r>
              <w:rPr>
                <w:rFonts w:hint="eastAsia" w:ascii="Times New Roman" w:hAnsi="Times New Roman" w:eastAsia="仿宋_GB2312" w:cs="Times New Roman"/>
                <w:kern w:val="0"/>
                <w:szCs w:val="28"/>
                <w:lang w:val="en-GB"/>
              </w:rPr>
              <w:t>省统一身份认证规划方案</w:t>
            </w:r>
          </w:p>
        </w:tc>
        <w:tc>
          <w:tcPr>
            <w:tcW w:w="1835" w:type="dxa"/>
          </w:tcPr>
          <w:p>
            <w:pPr>
              <w:pStyle w:val="4"/>
              <w:ind w:firstLine="0" w:firstLineChars="0"/>
              <w:rPr>
                <w:rFonts w:ascii="Times New Roman" w:hAnsi="Times New Roman" w:eastAsia="仿宋_GB2312" w:cs="Times New Roman"/>
                <w:kern w:val="0"/>
                <w:szCs w:val="28"/>
                <w:lang w:val="en-GB"/>
              </w:rPr>
            </w:pPr>
            <w:r>
              <w:rPr>
                <w:rFonts w:hint="eastAsia" w:ascii="Times New Roman" w:hAnsi="Times New Roman" w:eastAsia="仿宋_GB2312" w:cs="Times New Roman"/>
                <w:kern w:val="0"/>
                <w:szCs w:val="28"/>
                <w:lang w:val="en-GB"/>
              </w:rPr>
              <w:t>自合同签订之日起</w:t>
            </w:r>
            <w:r>
              <w:rPr>
                <w:rFonts w:ascii="Times New Roman" w:hAnsi="Times New Roman" w:eastAsia="仿宋_GB2312" w:cs="Times New Roman"/>
                <w:kern w:val="0"/>
                <w:szCs w:val="28"/>
                <w:lang w:val="en-GB"/>
              </w:rPr>
              <w:t>6</w:t>
            </w:r>
            <w:r>
              <w:rPr>
                <w:rFonts w:hint="eastAsia" w:ascii="Times New Roman" w:hAnsi="Times New Roman" w:eastAsia="仿宋_GB2312" w:cs="Times New Roman"/>
                <w:kern w:val="0"/>
                <w:szCs w:val="28"/>
                <w:lang w:val="en-GB"/>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pPr>
              <w:pStyle w:val="4"/>
              <w:ind w:firstLine="0" w:firstLineChars="0"/>
              <w:jc w:val="center"/>
              <w:rPr>
                <w:rFonts w:ascii="Times New Roman" w:hAnsi="Times New Roman" w:eastAsia="仿宋_GB2312" w:cs="Times New Roman"/>
                <w:b/>
                <w:bCs/>
                <w:kern w:val="0"/>
                <w:szCs w:val="28"/>
                <w:lang w:val="en-GB"/>
              </w:rPr>
            </w:pPr>
            <w:r>
              <w:rPr>
                <w:rFonts w:hint="eastAsia" w:ascii="Times New Roman" w:hAnsi="Times New Roman" w:eastAsia="仿宋_GB2312" w:cs="Times New Roman"/>
                <w:b/>
                <w:bCs/>
                <w:kern w:val="0"/>
                <w:szCs w:val="28"/>
                <w:lang w:val="en-GB"/>
              </w:rPr>
              <w:t>5</w:t>
            </w:r>
          </w:p>
        </w:tc>
        <w:tc>
          <w:tcPr>
            <w:tcW w:w="2627" w:type="dxa"/>
          </w:tcPr>
          <w:p>
            <w:pPr>
              <w:pStyle w:val="4"/>
              <w:ind w:firstLine="0" w:firstLineChars="0"/>
              <w:rPr>
                <w:rFonts w:ascii="Times New Roman" w:hAnsi="Times New Roman" w:eastAsia="仿宋_GB2312" w:cs="Times New Roman"/>
                <w:kern w:val="0"/>
                <w:szCs w:val="28"/>
                <w:lang w:val="en-GB"/>
              </w:rPr>
            </w:pPr>
            <w:r>
              <w:rPr>
                <w:rFonts w:hint="eastAsia" w:ascii="Times New Roman" w:hAnsi="Times New Roman" w:eastAsia="仿宋_GB2312" w:cs="Times New Roman"/>
                <w:kern w:val="0"/>
                <w:szCs w:val="28"/>
                <w:lang w:val="en-GB"/>
              </w:rPr>
              <w:t>国家标准规范解读及指导培训</w:t>
            </w:r>
          </w:p>
        </w:tc>
        <w:tc>
          <w:tcPr>
            <w:tcW w:w="3686" w:type="dxa"/>
          </w:tcPr>
          <w:p>
            <w:pPr>
              <w:pStyle w:val="4"/>
              <w:ind w:firstLine="0" w:firstLineChars="0"/>
              <w:rPr>
                <w:rFonts w:ascii="Times New Roman" w:hAnsi="Times New Roman" w:eastAsia="仿宋_GB2312" w:cs="Times New Roman"/>
                <w:kern w:val="0"/>
                <w:szCs w:val="28"/>
                <w:lang w:val="en-GB"/>
              </w:rPr>
            </w:pPr>
            <w:r>
              <w:rPr>
                <w:rFonts w:hint="eastAsia" w:ascii="Times New Roman" w:hAnsi="Times New Roman" w:eastAsia="仿宋_GB2312" w:cs="Times New Roman"/>
                <w:kern w:val="0"/>
                <w:szCs w:val="28"/>
                <w:lang w:val="en-GB"/>
              </w:rPr>
              <w:t>培训方案、计划、材料、通知、签到表等</w:t>
            </w:r>
          </w:p>
        </w:tc>
        <w:tc>
          <w:tcPr>
            <w:tcW w:w="1835" w:type="dxa"/>
          </w:tcPr>
          <w:p>
            <w:pPr>
              <w:pStyle w:val="4"/>
              <w:ind w:firstLine="0" w:firstLineChars="0"/>
              <w:rPr>
                <w:rFonts w:ascii="Times New Roman" w:hAnsi="Times New Roman" w:eastAsia="仿宋_GB2312" w:cs="Times New Roman"/>
                <w:kern w:val="0"/>
                <w:szCs w:val="28"/>
                <w:lang w:val="en-GB"/>
              </w:rPr>
            </w:pPr>
            <w:r>
              <w:rPr>
                <w:rFonts w:hint="eastAsia" w:ascii="Times New Roman" w:hAnsi="Times New Roman" w:eastAsia="仿宋_GB2312" w:cs="Times New Roman"/>
                <w:kern w:val="0"/>
                <w:szCs w:val="28"/>
                <w:lang w:val="en-GB"/>
              </w:rPr>
              <w:t>自合同签订之日起</w:t>
            </w:r>
            <w:r>
              <w:rPr>
                <w:rFonts w:ascii="Times New Roman" w:hAnsi="Times New Roman" w:eastAsia="仿宋_GB2312" w:cs="Times New Roman"/>
                <w:kern w:val="0"/>
                <w:szCs w:val="28"/>
                <w:lang w:val="en-GB"/>
              </w:rPr>
              <w:t>1</w:t>
            </w:r>
            <w:r>
              <w:rPr>
                <w:rFonts w:hint="eastAsia" w:ascii="Times New Roman" w:hAnsi="Times New Roman" w:eastAsia="仿宋_GB2312" w:cs="Times New Roman"/>
                <w:kern w:val="0"/>
                <w:szCs w:val="28"/>
                <w:lang w:val="en-GB"/>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pPr>
              <w:pStyle w:val="4"/>
              <w:ind w:firstLine="0" w:firstLineChars="0"/>
              <w:jc w:val="center"/>
              <w:rPr>
                <w:rFonts w:ascii="Times New Roman" w:hAnsi="Times New Roman" w:eastAsia="仿宋_GB2312" w:cs="Times New Roman"/>
                <w:b/>
                <w:bCs/>
                <w:kern w:val="0"/>
                <w:szCs w:val="28"/>
                <w:lang w:val="en-GB"/>
              </w:rPr>
            </w:pPr>
            <w:r>
              <w:rPr>
                <w:rFonts w:hint="eastAsia" w:ascii="Times New Roman" w:hAnsi="Times New Roman" w:eastAsia="仿宋_GB2312" w:cs="Times New Roman"/>
                <w:b/>
                <w:bCs/>
                <w:kern w:val="0"/>
                <w:szCs w:val="28"/>
                <w:lang w:val="en-GB"/>
              </w:rPr>
              <w:t>6</w:t>
            </w:r>
          </w:p>
        </w:tc>
        <w:tc>
          <w:tcPr>
            <w:tcW w:w="2627" w:type="dxa"/>
          </w:tcPr>
          <w:p>
            <w:pPr>
              <w:pStyle w:val="4"/>
              <w:ind w:firstLine="0" w:firstLineChars="0"/>
              <w:rPr>
                <w:rFonts w:ascii="Times New Roman" w:hAnsi="Times New Roman" w:eastAsia="仿宋_GB2312" w:cs="Times New Roman"/>
                <w:kern w:val="0"/>
                <w:szCs w:val="28"/>
                <w:lang w:val="en-GB"/>
              </w:rPr>
            </w:pPr>
            <w:r>
              <w:rPr>
                <w:rFonts w:hint="eastAsia" w:ascii="Times New Roman" w:hAnsi="Times New Roman" w:eastAsia="仿宋_GB2312" w:cs="Times New Roman"/>
                <w:kern w:val="0"/>
                <w:szCs w:val="28"/>
                <w:lang w:val="en-GB"/>
              </w:rPr>
              <w:t>协助推进省统一身份认证推广工作</w:t>
            </w:r>
          </w:p>
        </w:tc>
        <w:tc>
          <w:tcPr>
            <w:tcW w:w="3686" w:type="dxa"/>
          </w:tcPr>
          <w:p>
            <w:pPr>
              <w:pStyle w:val="4"/>
              <w:ind w:firstLine="0" w:firstLineChars="0"/>
              <w:rPr>
                <w:rFonts w:ascii="Times New Roman" w:hAnsi="Times New Roman" w:eastAsia="仿宋_GB2312" w:cs="Times New Roman"/>
                <w:kern w:val="0"/>
                <w:szCs w:val="28"/>
                <w:lang w:val="en-GB"/>
              </w:rPr>
            </w:pPr>
            <w:r>
              <w:rPr>
                <w:rFonts w:hint="eastAsia" w:ascii="Times New Roman" w:hAnsi="Times New Roman" w:eastAsia="仿宋_GB2312" w:cs="Times New Roman"/>
                <w:kern w:val="0"/>
                <w:szCs w:val="28"/>
                <w:lang w:val="en-GB"/>
              </w:rPr>
              <w:t>包括但不限于工作方案、推广总结报告、工作周报、月报及会议纪要等</w:t>
            </w:r>
          </w:p>
        </w:tc>
        <w:tc>
          <w:tcPr>
            <w:tcW w:w="1835" w:type="dxa"/>
          </w:tcPr>
          <w:p>
            <w:pPr>
              <w:pStyle w:val="4"/>
              <w:ind w:firstLine="0" w:firstLineChars="0"/>
              <w:rPr>
                <w:rFonts w:ascii="Times New Roman" w:hAnsi="Times New Roman" w:eastAsia="仿宋_GB2312" w:cs="Times New Roman"/>
                <w:kern w:val="0"/>
                <w:szCs w:val="28"/>
                <w:lang w:val="en-GB"/>
              </w:rPr>
            </w:pPr>
            <w:r>
              <w:rPr>
                <w:rFonts w:hint="eastAsia" w:ascii="Times New Roman" w:hAnsi="Times New Roman" w:eastAsia="仿宋_GB2312" w:cs="Times New Roman"/>
                <w:kern w:val="0"/>
                <w:szCs w:val="28"/>
                <w:lang w:val="en-GB"/>
              </w:rPr>
              <w:t>自合同签订之日起</w:t>
            </w:r>
            <w:r>
              <w:rPr>
                <w:rFonts w:ascii="Times New Roman" w:hAnsi="Times New Roman" w:eastAsia="仿宋_GB2312" w:cs="Times New Roman"/>
                <w:kern w:val="0"/>
                <w:szCs w:val="28"/>
                <w:lang w:val="en-GB"/>
              </w:rPr>
              <w:t>6</w:t>
            </w:r>
            <w:r>
              <w:rPr>
                <w:rFonts w:hint="eastAsia" w:ascii="Times New Roman" w:hAnsi="Times New Roman" w:eastAsia="仿宋_GB2312" w:cs="Times New Roman"/>
                <w:kern w:val="0"/>
                <w:szCs w:val="28"/>
                <w:lang w:val="en-GB"/>
              </w:rPr>
              <w:t>个月</w:t>
            </w:r>
          </w:p>
        </w:tc>
      </w:tr>
    </w:tbl>
    <w:p>
      <w:pPr>
        <w:pStyle w:val="4"/>
        <w:ind w:firstLine="560"/>
        <w:rPr>
          <w:rFonts w:ascii="Times New Roman" w:hAnsi="Times New Roman" w:eastAsia="仿宋_GB2312"/>
          <w:kern w:val="0"/>
          <w:lang w:val="en-GB"/>
        </w:rPr>
      </w:pPr>
    </w:p>
    <w:p>
      <w:pPr>
        <w:pStyle w:val="15"/>
        <w:rPr>
          <w:rFonts w:ascii="Times New Roman" w:hAnsi="Times New Roman"/>
        </w:rPr>
      </w:pPr>
      <w:r>
        <w:rPr>
          <w:rFonts w:ascii="Times New Roman" w:hAnsi="Times New Roman"/>
        </w:rPr>
        <w:t>管理要求</w:t>
      </w:r>
    </w:p>
    <w:p>
      <w:pPr>
        <w:pStyle w:val="18"/>
        <w:rPr>
          <w:rFonts w:ascii="Times New Roman" w:hAnsi="Times New Roman"/>
        </w:rPr>
      </w:pPr>
      <w:r>
        <w:rPr>
          <w:rFonts w:ascii="Times New Roman" w:hAnsi="Times New Roman"/>
        </w:rPr>
        <w:t>服务人员</w:t>
      </w:r>
    </w:p>
    <w:p>
      <w:pPr>
        <w:autoSpaceDE w:val="0"/>
        <w:autoSpaceDN w:val="0"/>
        <w:adjustRightInd w:val="0"/>
        <w:ind w:firstLine="560"/>
        <w:rPr>
          <w:rFonts w:eastAsia="仿宋_GB2312"/>
          <w:sz w:val="28"/>
          <w:szCs w:val="20"/>
        </w:rPr>
      </w:pPr>
      <w:r>
        <w:rPr>
          <w:rFonts w:eastAsia="仿宋_GB2312"/>
          <w:sz w:val="28"/>
          <w:szCs w:val="20"/>
        </w:rPr>
        <w:t>中标人应根据采购人需求，组建</w:t>
      </w:r>
      <w:r>
        <w:rPr>
          <w:rFonts w:hint="eastAsia" w:eastAsia="仿宋_GB2312"/>
          <w:sz w:val="28"/>
          <w:szCs w:val="20"/>
        </w:rPr>
        <w:t>技术</w:t>
      </w:r>
      <w:r>
        <w:rPr>
          <w:rFonts w:eastAsia="仿宋_GB2312"/>
          <w:sz w:val="28"/>
          <w:szCs w:val="20"/>
        </w:rPr>
        <w:t>服务团队，人数不少于</w:t>
      </w:r>
      <w:r>
        <w:rPr>
          <w:rFonts w:hint="eastAsia" w:eastAsia="仿宋_GB2312"/>
          <w:sz w:val="28"/>
          <w:szCs w:val="20"/>
        </w:rPr>
        <w:t>7</w:t>
      </w:r>
      <w:r>
        <w:rPr>
          <w:rFonts w:eastAsia="仿宋_GB2312"/>
          <w:sz w:val="28"/>
          <w:szCs w:val="20"/>
        </w:rPr>
        <w:t>名，设置项目经理、高级</w:t>
      </w:r>
      <w:r>
        <w:rPr>
          <w:rFonts w:hint="eastAsia" w:eastAsia="仿宋_GB2312"/>
          <w:sz w:val="28"/>
          <w:szCs w:val="20"/>
        </w:rPr>
        <w:t>工程师</w:t>
      </w:r>
      <w:r>
        <w:rPr>
          <w:rFonts w:eastAsia="仿宋_GB2312"/>
          <w:sz w:val="28"/>
          <w:szCs w:val="20"/>
        </w:rPr>
        <w:t>、中级</w:t>
      </w:r>
      <w:r>
        <w:rPr>
          <w:rFonts w:hint="eastAsia" w:eastAsia="仿宋_GB2312"/>
          <w:sz w:val="28"/>
          <w:szCs w:val="20"/>
        </w:rPr>
        <w:t>工程师</w:t>
      </w:r>
      <w:r>
        <w:rPr>
          <w:rFonts w:eastAsia="仿宋_GB2312"/>
          <w:sz w:val="28"/>
          <w:szCs w:val="20"/>
        </w:rPr>
        <w:t>、助理</w:t>
      </w:r>
      <w:r>
        <w:rPr>
          <w:rFonts w:hint="eastAsia" w:eastAsia="仿宋_GB2312"/>
          <w:sz w:val="28"/>
          <w:szCs w:val="20"/>
        </w:rPr>
        <w:t>工程师</w:t>
      </w:r>
      <w:r>
        <w:rPr>
          <w:rFonts w:eastAsia="仿宋_GB2312"/>
          <w:sz w:val="28"/>
          <w:szCs w:val="20"/>
        </w:rPr>
        <w:t>等角色。分述如下：</w:t>
      </w:r>
    </w:p>
    <w:p>
      <w:pPr>
        <w:ind w:firstLine="562"/>
        <w:rPr>
          <w:rFonts w:eastAsia="仿宋_GB2312"/>
          <w:b/>
          <w:sz w:val="28"/>
          <w:szCs w:val="20"/>
        </w:rPr>
      </w:pPr>
      <w:r>
        <w:rPr>
          <w:rFonts w:eastAsia="仿宋_GB2312"/>
          <w:b/>
          <w:sz w:val="28"/>
          <w:szCs w:val="20"/>
        </w:rPr>
        <w:t>1.项目经理（1名）。</w:t>
      </w:r>
    </w:p>
    <w:p>
      <w:pPr>
        <w:ind w:firstLine="562"/>
        <w:rPr>
          <w:rFonts w:eastAsia="仿宋_GB2312"/>
          <w:sz w:val="28"/>
          <w:szCs w:val="20"/>
        </w:rPr>
      </w:pPr>
      <w:r>
        <w:rPr>
          <w:rFonts w:eastAsia="仿宋_GB2312"/>
          <w:b/>
          <w:sz w:val="28"/>
          <w:szCs w:val="20"/>
        </w:rPr>
        <w:t>工作职责。</w:t>
      </w:r>
      <w:r>
        <w:rPr>
          <w:rFonts w:eastAsia="仿宋_GB2312"/>
          <w:sz w:val="28"/>
          <w:szCs w:val="20"/>
        </w:rPr>
        <w:t>负责主持项目工作分解与分工，监督项目计划、文件和重要节点管理，为项目团队提供方法指导和资源支持，指导和组织开展项目关键节点和重要里程碑的交付，指导和检查项目报告及相关项目管理文件，评估项目潜在风险，保证项目顺利进行。</w:t>
      </w:r>
    </w:p>
    <w:p>
      <w:pPr>
        <w:ind w:firstLine="562"/>
        <w:rPr>
          <w:rFonts w:eastAsia="仿宋_GB2312"/>
          <w:sz w:val="28"/>
          <w:szCs w:val="20"/>
        </w:rPr>
      </w:pPr>
      <w:r>
        <w:rPr>
          <w:rFonts w:eastAsia="仿宋_GB2312"/>
          <w:b/>
          <w:sz w:val="28"/>
          <w:szCs w:val="20"/>
        </w:rPr>
        <w:t>素质和能力要求。</w:t>
      </w:r>
      <w:r>
        <w:rPr>
          <w:rFonts w:eastAsia="仿宋_GB2312"/>
          <w:sz w:val="28"/>
          <w:szCs w:val="20"/>
        </w:rPr>
        <w:t>计算机或管理学相关专业</w:t>
      </w:r>
      <w:r>
        <w:rPr>
          <w:rFonts w:hint="eastAsia" w:eastAsia="仿宋_GB2312"/>
          <w:sz w:val="28"/>
          <w:szCs w:val="20"/>
        </w:rPr>
        <w:t>本科</w:t>
      </w:r>
      <w:r>
        <w:rPr>
          <w:rFonts w:eastAsia="仿宋_GB2312"/>
          <w:sz w:val="28"/>
          <w:szCs w:val="20"/>
        </w:rPr>
        <w:t>或以上毕业，具有10年及以上的项目管理经验，具备</w:t>
      </w:r>
      <w:r>
        <w:rPr>
          <w:rFonts w:hint="eastAsia" w:eastAsia="仿宋_GB2312"/>
          <w:sz w:val="28"/>
          <w:szCs w:val="20"/>
        </w:rPr>
        <w:t>P</w:t>
      </w:r>
      <w:r>
        <w:rPr>
          <w:rFonts w:eastAsia="仿宋_GB2312"/>
          <w:sz w:val="28"/>
          <w:szCs w:val="20"/>
        </w:rPr>
        <w:t>MP</w:t>
      </w:r>
      <w:r>
        <w:rPr>
          <w:rFonts w:hint="eastAsia" w:eastAsia="仿宋_GB2312"/>
          <w:sz w:val="28"/>
          <w:szCs w:val="20"/>
        </w:rPr>
        <w:t>或信息系统项目管理师</w:t>
      </w:r>
      <w:r>
        <w:rPr>
          <w:rFonts w:eastAsia="仿宋_GB2312"/>
          <w:sz w:val="28"/>
          <w:szCs w:val="20"/>
        </w:rPr>
        <w:t>资格，具有较强的信息化规划设计和组织协调能力。</w:t>
      </w:r>
    </w:p>
    <w:p>
      <w:pPr>
        <w:ind w:firstLine="562"/>
        <w:rPr>
          <w:rFonts w:eastAsia="仿宋_GB2312"/>
          <w:b/>
          <w:sz w:val="28"/>
          <w:szCs w:val="20"/>
        </w:rPr>
      </w:pPr>
      <w:r>
        <w:rPr>
          <w:rFonts w:eastAsia="仿宋_GB2312"/>
          <w:b/>
          <w:sz w:val="28"/>
          <w:szCs w:val="20"/>
        </w:rPr>
        <w:t>2.高级</w:t>
      </w:r>
      <w:r>
        <w:rPr>
          <w:rFonts w:hint="eastAsia" w:eastAsia="仿宋_GB2312"/>
          <w:b/>
          <w:sz w:val="28"/>
          <w:szCs w:val="20"/>
        </w:rPr>
        <w:t>工程师</w:t>
      </w:r>
      <w:r>
        <w:rPr>
          <w:rFonts w:eastAsia="仿宋_GB2312"/>
          <w:b/>
          <w:sz w:val="28"/>
          <w:szCs w:val="20"/>
        </w:rPr>
        <w:t>（2名）。</w:t>
      </w:r>
    </w:p>
    <w:p>
      <w:pPr>
        <w:ind w:firstLine="562"/>
        <w:rPr>
          <w:rFonts w:eastAsia="仿宋_GB2312"/>
          <w:sz w:val="28"/>
          <w:szCs w:val="20"/>
        </w:rPr>
      </w:pPr>
      <w:r>
        <w:rPr>
          <w:rFonts w:eastAsia="仿宋_GB2312"/>
          <w:b/>
          <w:sz w:val="28"/>
          <w:szCs w:val="20"/>
        </w:rPr>
        <w:t>工作职责。</w:t>
      </w:r>
      <w:r>
        <w:rPr>
          <w:rFonts w:eastAsia="仿宋_GB2312"/>
          <w:sz w:val="28"/>
          <w:szCs w:val="20"/>
        </w:rPr>
        <w:t>组织服务团队制定项目推进计划和优先排序，实行项目进程管理、节点管理、总体统筹和质量控制，对接项目群的各个相关方，收集、汇总和分析信息，组织各阶段的沟通协调与会议，主持阶段性沟通汇报会，主导编写项目过程报告以及服务完成报告。</w:t>
      </w:r>
    </w:p>
    <w:p>
      <w:pPr>
        <w:ind w:firstLine="562"/>
        <w:rPr>
          <w:rFonts w:eastAsia="仿宋_GB2312"/>
          <w:sz w:val="28"/>
          <w:szCs w:val="20"/>
        </w:rPr>
      </w:pPr>
      <w:r>
        <w:rPr>
          <w:rFonts w:eastAsia="仿宋_GB2312"/>
          <w:b/>
          <w:sz w:val="28"/>
          <w:szCs w:val="20"/>
        </w:rPr>
        <w:t>素质和能力要求。</w:t>
      </w:r>
      <w:r>
        <w:rPr>
          <w:rFonts w:eastAsia="仿宋_GB2312"/>
          <w:sz w:val="28"/>
          <w:szCs w:val="20"/>
        </w:rPr>
        <w:t>计算机或管理学相关专业本科以上学历，具有8年及以上的项目管理或咨询经验，具备</w:t>
      </w:r>
      <w:r>
        <w:rPr>
          <w:rFonts w:hint="eastAsia" w:eastAsia="仿宋_GB2312"/>
          <w:sz w:val="28"/>
          <w:szCs w:val="20"/>
        </w:rPr>
        <w:t>PMP和C</w:t>
      </w:r>
      <w:r>
        <w:rPr>
          <w:rFonts w:eastAsia="仿宋_GB2312"/>
          <w:sz w:val="28"/>
          <w:szCs w:val="20"/>
        </w:rPr>
        <w:t>ISP</w:t>
      </w:r>
      <w:r>
        <w:rPr>
          <w:rFonts w:hint="eastAsia" w:eastAsia="仿宋_GB2312"/>
          <w:sz w:val="28"/>
          <w:szCs w:val="20"/>
        </w:rPr>
        <w:t>注册信息安全专业人员</w:t>
      </w:r>
      <w:r>
        <w:rPr>
          <w:rFonts w:eastAsia="仿宋_GB2312"/>
          <w:sz w:val="28"/>
          <w:szCs w:val="20"/>
        </w:rPr>
        <w:t>，有良好的沟通能力和综合素质，熟悉项目管理工作流程。</w:t>
      </w:r>
    </w:p>
    <w:p>
      <w:pPr>
        <w:ind w:firstLine="562"/>
        <w:rPr>
          <w:rFonts w:eastAsia="仿宋_GB2312"/>
          <w:b/>
          <w:sz w:val="28"/>
          <w:szCs w:val="20"/>
        </w:rPr>
      </w:pPr>
      <w:r>
        <w:rPr>
          <w:rFonts w:eastAsia="仿宋_GB2312"/>
          <w:b/>
          <w:sz w:val="28"/>
          <w:szCs w:val="20"/>
        </w:rPr>
        <w:t>3.中级</w:t>
      </w:r>
      <w:r>
        <w:rPr>
          <w:rFonts w:hint="eastAsia" w:eastAsia="仿宋_GB2312"/>
          <w:b/>
          <w:sz w:val="28"/>
          <w:szCs w:val="20"/>
        </w:rPr>
        <w:t>工程师</w:t>
      </w:r>
      <w:r>
        <w:rPr>
          <w:rFonts w:eastAsia="仿宋_GB2312"/>
          <w:b/>
          <w:sz w:val="28"/>
          <w:szCs w:val="20"/>
        </w:rPr>
        <w:t>（2名）。</w:t>
      </w:r>
    </w:p>
    <w:p>
      <w:pPr>
        <w:ind w:firstLine="562"/>
        <w:rPr>
          <w:rFonts w:eastAsia="仿宋_GB2312"/>
          <w:sz w:val="28"/>
          <w:szCs w:val="20"/>
        </w:rPr>
      </w:pPr>
      <w:r>
        <w:rPr>
          <w:rFonts w:eastAsia="仿宋_GB2312"/>
          <w:b/>
          <w:sz w:val="28"/>
          <w:szCs w:val="20"/>
        </w:rPr>
        <w:t>工作职责。</w:t>
      </w:r>
      <w:r>
        <w:rPr>
          <w:rFonts w:eastAsia="仿宋_GB2312"/>
          <w:sz w:val="28"/>
          <w:szCs w:val="20"/>
        </w:rPr>
        <w:t>参与项目管理，主导阶段性工作方案的策划和编制，制</w:t>
      </w:r>
      <w:r>
        <w:rPr>
          <w:rFonts w:hint="eastAsia" w:eastAsia="仿宋_GB2312"/>
          <w:sz w:val="28"/>
          <w:szCs w:val="20"/>
          <w:lang w:val="en-US" w:eastAsia="zh-CN"/>
        </w:rPr>
        <w:t>定</w:t>
      </w:r>
      <w:r>
        <w:rPr>
          <w:rFonts w:eastAsia="仿宋_GB2312"/>
          <w:sz w:val="28"/>
          <w:szCs w:val="20"/>
        </w:rPr>
        <w:t>信息搜集与整理的计划和方案，对所承担的阶段性工作进行进度管理和质量控制。</w:t>
      </w:r>
    </w:p>
    <w:p>
      <w:pPr>
        <w:ind w:firstLine="562"/>
        <w:rPr>
          <w:rFonts w:eastAsia="仿宋_GB2312"/>
          <w:sz w:val="28"/>
          <w:szCs w:val="20"/>
        </w:rPr>
      </w:pPr>
      <w:r>
        <w:rPr>
          <w:rFonts w:eastAsia="仿宋_GB2312"/>
          <w:b/>
          <w:sz w:val="28"/>
          <w:szCs w:val="20"/>
        </w:rPr>
        <w:t>素质和能力要求。</w:t>
      </w:r>
      <w:r>
        <w:rPr>
          <w:rFonts w:eastAsia="仿宋_GB2312"/>
          <w:sz w:val="28"/>
          <w:szCs w:val="20"/>
        </w:rPr>
        <w:t>计算机或管理学相关专业本科以上学历，具有5年及以上的项目管理或咨询经验，有良好的沟通协调能力，熟悉项目管理工作流程。</w:t>
      </w:r>
    </w:p>
    <w:p>
      <w:pPr>
        <w:ind w:firstLine="562"/>
        <w:rPr>
          <w:rFonts w:eastAsia="仿宋_GB2312"/>
          <w:b/>
          <w:sz w:val="28"/>
          <w:szCs w:val="20"/>
        </w:rPr>
      </w:pPr>
      <w:r>
        <w:rPr>
          <w:rFonts w:eastAsia="仿宋_GB2312"/>
          <w:b/>
          <w:sz w:val="28"/>
          <w:szCs w:val="20"/>
        </w:rPr>
        <w:t>4.助理</w:t>
      </w:r>
      <w:r>
        <w:rPr>
          <w:rFonts w:hint="eastAsia" w:eastAsia="仿宋_GB2312"/>
          <w:b/>
          <w:sz w:val="28"/>
          <w:szCs w:val="20"/>
        </w:rPr>
        <w:t>工程师</w:t>
      </w:r>
      <w:r>
        <w:rPr>
          <w:rFonts w:eastAsia="仿宋_GB2312"/>
          <w:b/>
          <w:sz w:val="28"/>
          <w:szCs w:val="20"/>
        </w:rPr>
        <w:t>（</w:t>
      </w:r>
      <w:r>
        <w:rPr>
          <w:rFonts w:hint="eastAsia" w:eastAsia="仿宋_GB2312"/>
          <w:b/>
          <w:sz w:val="28"/>
          <w:szCs w:val="20"/>
        </w:rPr>
        <w:t>2</w:t>
      </w:r>
      <w:r>
        <w:rPr>
          <w:rFonts w:eastAsia="仿宋_GB2312"/>
          <w:b/>
          <w:sz w:val="28"/>
          <w:szCs w:val="20"/>
        </w:rPr>
        <w:t>名）。</w:t>
      </w:r>
    </w:p>
    <w:p>
      <w:pPr>
        <w:ind w:firstLine="562"/>
        <w:rPr>
          <w:rFonts w:eastAsia="仿宋_GB2312"/>
          <w:sz w:val="28"/>
          <w:szCs w:val="20"/>
        </w:rPr>
      </w:pPr>
      <w:r>
        <w:rPr>
          <w:rFonts w:eastAsia="仿宋_GB2312"/>
          <w:b/>
          <w:sz w:val="28"/>
          <w:szCs w:val="20"/>
        </w:rPr>
        <w:t>工作职责。</w:t>
      </w:r>
      <w:r>
        <w:rPr>
          <w:rFonts w:eastAsia="仿宋_GB2312"/>
          <w:sz w:val="28"/>
          <w:szCs w:val="20"/>
        </w:rPr>
        <w:t>负责项目管理工作落地执行，包括参与会议、整理纪要、编写项目文档管理等。</w:t>
      </w:r>
    </w:p>
    <w:p>
      <w:pPr>
        <w:ind w:firstLine="562"/>
        <w:rPr>
          <w:rFonts w:eastAsia="仿宋_GB2312"/>
          <w:sz w:val="28"/>
          <w:szCs w:val="20"/>
        </w:rPr>
      </w:pPr>
      <w:r>
        <w:rPr>
          <w:rFonts w:eastAsia="仿宋_GB2312"/>
          <w:b/>
          <w:sz w:val="28"/>
          <w:szCs w:val="20"/>
        </w:rPr>
        <w:t>素质和能力要求。</w:t>
      </w:r>
      <w:r>
        <w:rPr>
          <w:rFonts w:eastAsia="仿宋_GB2312"/>
          <w:sz w:val="28"/>
          <w:szCs w:val="20"/>
        </w:rPr>
        <w:t>计算机或管理学相关专业本科以上学历，具有2年及以上的项目管理或咨询经验，有良好的沟通和执行能力，熟悉项目管理工作流程。</w:t>
      </w:r>
    </w:p>
    <w:p>
      <w:pPr>
        <w:pStyle w:val="4"/>
        <w:ind w:firstLine="560"/>
        <w:jc w:val="left"/>
        <w:rPr>
          <w:rFonts w:eastAsia="仿宋_GB2312"/>
        </w:rPr>
      </w:pPr>
      <w:r>
        <w:rPr>
          <w:rFonts w:eastAsia="仿宋_GB2312"/>
        </w:rPr>
        <w:t>投标人须书面承诺，如在项目实际执行过程中发生项目经理不能按采购文件要求胜任相关工作的，采购人有权要求更换项目经理，投标人必须在两周内调整为符合采购文件要求且能胜任相关工作的项目经理并到位开展工作，否则采购人有权终止合同并报相关管理部门进行处理。</w:t>
      </w:r>
    </w:p>
    <w:p>
      <w:pPr>
        <w:ind w:firstLine="560" w:firstLineChars="200"/>
        <w:jc w:val="left"/>
        <w:rPr>
          <w:rFonts w:eastAsia="仿宋_GB2312"/>
          <w:sz w:val="28"/>
          <w:szCs w:val="20"/>
        </w:rPr>
      </w:pPr>
      <w:r>
        <w:rPr>
          <w:rFonts w:eastAsia="仿宋_GB2312"/>
          <w:sz w:val="28"/>
          <w:szCs w:val="20"/>
        </w:rPr>
        <w:t>投标人承诺的项目经理和主要人员未经用户同意不得调整；投标人如中途更换项目经理和主要人员，须书面向采购人提出申请，说明申请理由，经采购人书面同意方可调整团队人员，调入人员的资历和从业经验不低于调出人员，否则视为违约行为，采购人有权终止服务合同。</w:t>
      </w:r>
    </w:p>
    <w:p>
      <w:pPr>
        <w:ind w:firstLine="560" w:firstLineChars="200"/>
        <w:jc w:val="left"/>
        <w:rPr>
          <w:rFonts w:ascii="Times New Roman" w:hAnsi="Times New Roman" w:eastAsia="楷体_GB2312"/>
          <w:i/>
          <w:color w:val="7F7F7F"/>
          <w:sz w:val="28"/>
          <w:szCs w:val="28"/>
        </w:rPr>
      </w:pPr>
      <w:r>
        <w:rPr>
          <w:rFonts w:eastAsia="仿宋_GB2312"/>
          <w:sz w:val="28"/>
          <w:szCs w:val="20"/>
        </w:rPr>
        <w:t>应提供以上人员相关证明资料复印件并加盖公章，并提供以上人员在本公司任职的有效外部证明材料（如加盖政府有关部门印章的《投保单》或《社会保险参保人员证明》，或单位代缴个人所得税税单等，事业法人的相关人员应提供该单位的相关证明）复印件。</w:t>
      </w:r>
    </w:p>
    <w:p>
      <w:pPr>
        <w:pStyle w:val="18"/>
        <w:rPr>
          <w:rFonts w:ascii="Times New Roman" w:hAnsi="Times New Roman"/>
        </w:rPr>
      </w:pPr>
      <w:r>
        <w:rPr>
          <w:rFonts w:ascii="Times New Roman" w:hAnsi="Times New Roman"/>
        </w:rPr>
        <w:t>进度要求</w:t>
      </w:r>
    </w:p>
    <w:p>
      <w:pPr>
        <w:ind w:firstLine="560" w:firstLineChars="200"/>
        <w:jc w:val="left"/>
        <w:rPr>
          <w:rFonts w:ascii="Times New Roman" w:hAnsi="Times New Roman" w:eastAsia="楷体_GB2312"/>
          <w:i/>
          <w:color w:val="7F7F7F"/>
          <w:sz w:val="28"/>
          <w:szCs w:val="28"/>
        </w:rPr>
      </w:pPr>
      <w:r>
        <w:rPr>
          <w:rFonts w:eastAsia="仿宋_GB2312"/>
          <w:sz w:val="28"/>
          <w:szCs w:val="20"/>
        </w:rPr>
        <w:t>整个项目分为项目启动阶段、项目计划阶段、项目实施阶段、项目总结阶段，自合同签订之日起，</w:t>
      </w:r>
      <w:r>
        <w:rPr>
          <w:rFonts w:hint="eastAsia" w:eastAsia="仿宋_GB2312"/>
          <w:sz w:val="28"/>
          <w:szCs w:val="20"/>
        </w:rPr>
        <w:t>共</w:t>
      </w:r>
      <w:r>
        <w:rPr>
          <w:rFonts w:eastAsia="仿宋_GB2312"/>
          <w:sz w:val="28"/>
          <w:szCs w:val="20"/>
          <w:u w:val="single"/>
        </w:rPr>
        <w:t>6</w:t>
      </w:r>
      <w:r>
        <w:rPr>
          <w:rFonts w:hint="eastAsia" w:eastAsia="仿宋_GB2312"/>
          <w:sz w:val="28"/>
          <w:szCs w:val="20"/>
        </w:rPr>
        <w:t>个月。</w:t>
      </w:r>
    </w:p>
    <w:p>
      <w:pPr>
        <w:pStyle w:val="18"/>
        <w:rPr>
          <w:rFonts w:ascii="Times New Roman" w:hAnsi="Times New Roman"/>
        </w:rPr>
      </w:pPr>
      <w:r>
        <w:rPr>
          <w:rFonts w:ascii="Times New Roman" w:hAnsi="Times New Roman"/>
        </w:rPr>
        <w:t>组织实施要求</w:t>
      </w:r>
    </w:p>
    <w:p>
      <w:pPr>
        <w:ind w:firstLine="560" w:firstLineChars="200"/>
        <w:jc w:val="left"/>
        <w:rPr>
          <w:rFonts w:eastAsia="仿宋_GB2312"/>
          <w:sz w:val="28"/>
          <w:szCs w:val="20"/>
        </w:rPr>
      </w:pPr>
      <w:r>
        <w:rPr>
          <w:rFonts w:hint="eastAsia" w:eastAsia="仿宋_GB2312"/>
          <w:sz w:val="28"/>
          <w:szCs w:val="20"/>
        </w:rPr>
        <w:t>为使项目按质、按量、按时及有序实施，投标人应建立完善、稳定的项目团队、内部组织管理方式及管理机构、协调机制、技术基础，支撑保障要求及其他相关要求。在机制保障方面，成立组织实施小组和项目专家组的双轨制的组织模式。在项目日常管理和条件保障方面，从行政组织、后勤保障和支撑条件各方面创造良好的服务环境，确保项目的顺利实施。</w:t>
      </w:r>
    </w:p>
    <w:p>
      <w:pPr>
        <w:pStyle w:val="18"/>
        <w:rPr>
          <w:rFonts w:ascii="Times New Roman" w:hAnsi="Times New Roman"/>
        </w:rPr>
      </w:pPr>
      <w:r>
        <w:rPr>
          <w:rFonts w:ascii="Times New Roman" w:hAnsi="Times New Roman"/>
        </w:rPr>
        <w:t>文档管理要求</w:t>
      </w:r>
    </w:p>
    <w:p>
      <w:pPr>
        <w:ind w:firstLine="560" w:firstLineChars="200"/>
        <w:jc w:val="left"/>
        <w:rPr>
          <w:rFonts w:eastAsia="仿宋_GB2312"/>
          <w:sz w:val="28"/>
          <w:szCs w:val="20"/>
        </w:rPr>
      </w:pPr>
      <w:r>
        <w:rPr>
          <w:rFonts w:hint="eastAsia" w:eastAsia="仿宋_GB2312"/>
          <w:sz w:val="28"/>
          <w:szCs w:val="20"/>
        </w:rPr>
        <w:t>投标人应在项目完成时，将本项目所有文档、资料汇集成册交付给采购人，所有文件要求用中文书写或有完整的中文注释。验收后，投标人按国家、省以及采购人档案管理要求，向采购人提供装订成册的纸质文档至少</w:t>
      </w:r>
      <w:r>
        <w:rPr>
          <w:rFonts w:eastAsia="仿宋_GB2312"/>
          <w:sz w:val="28"/>
          <w:szCs w:val="20"/>
          <w:u w:val="single"/>
        </w:rPr>
        <w:t xml:space="preserve"> 1 </w:t>
      </w:r>
      <w:r>
        <w:rPr>
          <w:rFonts w:hint="eastAsia" w:eastAsia="仿宋_GB2312"/>
          <w:sz w:val="28"/>
          <w:szCs w:val="20"/>
        </w:rPr>
        <w:t>套，电子文档</w:t>
      </w:r>
      <w:r>
        <w:rPr>
          <w:rFonts w:eastAsia="仿宋_GB2312"/>
          <w:sz w:val="28"/>
          <w:szCs w:val="20"/>
          <w:u w:val="single"/>
        </w:rPr>
        <w:t xml:space="preserve"> 1 </w:t>
      </w:r>
      <w:r>
        <w:rPr>
          <w:rFonts w:hint="eastAsia" w:eastAsia="仿宋_GB2312"/>
          <w:sz w:val="28"/>
          <w:szCs w:val="20"/>
        </w:rPr>
        <w:t>套。</w:t>
      </w:r>
    </w:p>
    <w:p>
      <w:pPr>
        <w:pStyle w:val="18"/>
        <w:rPr>
          <w:rFonts w:ascii="Times New Roman" w:hAnsi="Times New Roman"/>
        </w:rPr>
      </w:pPr>
      <w:r>
        <w:rPr>
          <w:rFonts w:ascii="Times New Roman" w:hAnsi="Times New Roman"/>
        </w:rPr>
        <w:t>质量保证要求</w:t>
      </w:r>
    </w:p>
    <w:p>
      <w:pPr>
        <w:ind w:firstLine="560" w:firstLineChars="200"/>
        <w:jc w:val="left"/>
        <w:rPr>
          <w:rFonts w:hint="eastAsia" w:eastAsia="仿宋_GB2312"/>
          <w:sz w:val="28"/>
          <w:szCs w:val="20"/>
        </w:rPr>
      </w:pPr>
      <w:r>
        <w:rPr>
          <w:rFonts w:hint="eastAsia" w:eastAsia="仿宋_GB2312"/>
          <w:sz w:val="28"/>
          <w:szCs w:val="20"/>
        </w:rPr>
        <w:t>为保证本项目能按时高质的顺利完成，规避项目风险或将风险降至最低程度，投标人应建立项目质量管理体系，包括但不限于质量目标、质量指标、岗位责任、问题处理计划、质量评价、整改完善等内容，并建立奖惩制度。</w:t>
      </w:r>
    </w:p>
    <w:p>
      <w:pPr>
        <w:pStyle w:val="18"/>
        <w:rPr>
          <w:rFonts w:hint="default" w:ascii="Times New Roman" w:hAnsi="Times New Roman" w:eastAsia="仿宋_GB2312"/>
          <w:sz w:val="28"/>
          <w:szCs w:val="28"/>
        </w:rPr>
      </w:pPr>
      <w:r>
        <w:rPr>
          <w:rFonts w:hint="eastAsia" w:ascii="Times New Roman" w:hAnsi="Times New Roman"/>
        </w:rPr>
        <w:t>其他要求</w:t>
      </w:r>
    </w:p>
    <w:p>
      <w:pPr>
        <w:ind w:firstLine="560" w:firstLineChars="200"/>
        <w:jc w:val="left"/>
        <w:rPr>
          <w:rFonts w:hint="default" w:eastAsia="仿宋_GB2312"/>
          <w:sz w:val="28"/>
          <w:szCs w:val="20"/>
          <w:lang w:val="en-US" w:eastAsia="zh-CN"/>
        </w:rPr>
      </w:pPr>
      <w:r>
        <w:rPr>
          <w:rFonts w:hint="eastAsia" w:eastAsia="仿宋_GB2312"/>
          <w:sz w:val="28"/>
          <w:szCs w:val="20"/>
          <w:lang w:val="en-US" w:eastAsia="zh-CN"/>
        </w:rPr>
        <w:t>投标人应具有完善的信息化管理体系，包括：ISO9001 质量管理体系认证、ISO/IEC27001 信息安全管理体系认证、ISO/IEC20000 信息技术服务管理体系认证、ISO14001 环境管理体系认证、ISO45001职业健康安全管理体系认证、信息安全风险评估服务资质、信息系统业务安全服务资质等相关证书。</w:t>
      </w:r>
    </w:p>
    <w:p>
      <w:pPr>
        <w:pStyle w:val="15"/>
        <w:rPr>
          <w:rFonts w:ascii="Times New Roman" w:hAnsi="Times New Roman"/>
        </w:rPr>
      </w:pPr>
      <w:r>
        <w:rPr>
          <w:rFonts w:ascii="Times New Roman" w:hAnsi="Times New Roman"/>
        </w:rPr>
        <w:t>验收标准</w:t>
      </w:r>
    </w:p>
    <w:p>
      <w:pPr>
        <w:pStyle w:val="18"/>
        <w:rPr>
          <w:rFonts w:ascii="Times New Roman" w:hAnsi="Times New Roman"/>
        </w:rPr>
      </w:pPr>
      <w:r>
        <w:rPr>
          <w:rFonts w:hint="eastAsia" w:ascii="Times New Roman" w:hAnsi="Times New Roman"/>
        </w:rPr>
        <w:t>验收依据</w:t>
      </w:r>
    </w:p>
    <w:p>
      <w:pPr>
        <w:ind w:firstLine="560" w:firstLineChars="200"/>
        <w:jc w:val="left"/>
        <w:rPr>
          <w:rFonts w:eastAsia="仿宋_GB2312"/>
          <w:sz w:val="28"/>
          <w:szCs w:val="20"/>
        </w:rPr>
      </w:pPr>
      <w:r>
        <w:rPr>
          <w:rFonts w:hint="eastAsia" w:eastAsia="仿宋_GB2312"/>
          <w:sz w:val="28"/>
          <w:szCs w:val="20"/>
        </w:rPr>
        <w:t>项目合同以及双方签署的会议纪要、备忘录等文件。</w:t>
      </w:r>
    </w:p>
    <w:p>
      <w:pPr>
        <w:pStyle w:val="18"/>
      </w:pPr>
      <w:r>
        <w:rPr>
          <w:rFonts w:hint="eastAsia"/>
        </w:rPr>
        <w:t>验收成果</w:t>
      </w:r>
    </w:p>
    <w:p>
      <w:pPr>
        <w:ind w:firstLine="560" w:firstLineChars="200"/>
        <w:jc w:val="left"/>
        <w:rPr>
          <w:rFonts w:eastAsia="仿宋_GB2312"/>
          <w:sz w:val="28"/>
          <w:szCs w:val="20"/>
        </w:rPr>
      </w:pPr>
      <w:r>
        <w:rPr>
          <w:rFonts w:hint="eastAsia" w:eastAsia="仿宋_GB2312"/>
          <w:sz w:val="28"/>
          <w:szCs w:val="20"/>
        </w:rPr>
        <w:t>（1）统一身份认证平台调研报告；</w:t>
      </w:r>
    </w:p>
    <w:p>
      <w:pPr>
        <w:ind w:firstLine="560" w:firstLineChars="200"/>
        <w:jc w:val="left"/>
        <w:rPr>
          <w:rFonts w:eastAsia="仿宋_GB2312"/>
          <w:sz w:val="28"/>
          <w:szCs w:val="20"/>
        </w:rPr>
      </w:pPr>
      <w:r>
        <w:rPr>
          <w:rFonts w:hint="eastAsia" w:eastAsia="仿宋_GB2312"/>
          <w:sz w:val="28"/>
          <w:szCs w:val="20"/>
        </w:rPr>
        <w:t>（2）统一身份认证应用情况调研报告；</w:t>
      </w:r>
    </w:p>
    <w:p>
      <w:pPr>
        <w:ind w:firstLine="560" w:firstLineChars="200"/>
        <w:jc w:val="left"/>
        <w:rPr>
          <w:rFonts w:eastAsia="仿宋_GB2312"/>
          <w:sz w:val="28"/>
          <w:szCs w:val="20"/>
        </w:rPr>
      </w:pPr>
      <w:r>
        <w:rPr>
          <w:rFonts w:hint="eastAsia" w:eastAsia="仿宋_GB2312"/>
          <w:sz w:val="28"/>
          <w:szCs w:val="20"/>
        </w:rPr>
        <w:t>（3）省统一身份认证平台评估报告；</w:t>
      </w:r>
    </w:p>
    <w:p>
      <w:pPr>
        <w:ind w:firstLine="560" w:firstLineChars="200"/>
        <w:jc w:val="left"/>
        <w:rPr>
          <w:rFonts w:eastAsia="仿宋_GB2312"/>
          <w:sz w:val="28"/>
          <w:szCs w:val="20"/>
        </w:rPr>
      </w:pPr>
      <w:r>
        <w:rPr>
          <w:rFonts w:hint="eastAsia" w:eastAsia="仿宋_GB2312"/>
          <w:sz w:val="28"/>
          <w:szCs w:val="20"/>
        </w:rPr>
        <w:t>（4）省统一身份认证规划方案；</w:t>
      </w:r>
    </w:p>
    <w:p>
      <w:pPr>
        <w:ind w:firstLine="560" w:firstLineChars="200"/>
        <w:jc w:val="left"/>
        <w:rPr>
          <w:rFonts w:eastAsia="仿宋_GB2312"/>
          <w:sz w:val="28"/>
          <w:szCs w:val="20"/>
        </w:rPr>
      </w:pPr>
      <w:r>
        <w:rPr>
          <w:rFonts w:hint="eastAsia" w:eastAsia="仿宋_GB2312"/>
          <w:sz w:val="28"/>
          <w:szCs w:val="20"/>
        </w:rPr>
        <w:t>（5）国家标准规范解读及指导培训方案、计划、签到表；</w:t>
      </w:r>
    </w:p>
    <w:p>
      <w:pPr>
        <w:ind w:firstLine="560" w:firstLineChars="200"/>
        <w:jc w:val="left"/>
        <w:rPr>
          <w:rFonts w:eastAsia="仿宋_GB2312"/>
          <w:sz w:val="28"/>
          <w:szCs w:val="20"/>
        </w:rPr>
      </w:pPr>
      <w:r>
        <w:rPr>
          <w:rFonts w:hint="eastAsia" w:eastAsia="仿宋_GB2312"/>
          <w:sz w:val="28"/>
          <w:szCs w:val="20"/>
        </w:rPr>
        <w:t>（6）协助</w:t>
      </w:r>
      <w:r>
        <w:rPr>
          <w:rFonts w:hint="eastAsia" w:eastAsia="仿宋_GB2312"/>
          <w:sz w:val="28"/>
          <w:szCs w:val="20"/>
          <w:lang w:val="en-US" w:eastAsia="zh-CN"/>
        </w:rPr>
        <w:t>编制</w:t>
      </w:r>
      <w:r>
        <w:rPr>
          <w:rFonts w:hint="eastAsia" w:eastAsia="仿宋_GB2312"/>
          <w:sz w:val="28"/>
          <w:szCs w:val="20"/>
        </w:rPr>
        <w:t>省统一身份认证推广工作方案、推广总结报告、工作周报、月报及会议纪要。</w:t>
      </w:r>
    </w:p>
    <w:p>
      <w:pPr>
        <w:pStyle w:val="18"/>
      </w:pPr>
      <w:r>
        <w:rPr>
          <w:rFonts w:hint="eastAsia"/>
        </w:rPr>
        <w:t>验收方式</w:t>
      </w:r>
    </w:p>
    <w:p>
      <w:pPr>
        <w:ind w:firstLine="560" w:firstLineChars="200"/>
        <w:jc w:val="left"/>
        <w:rPr>
          <w:szCs w:val="20"/>
        </w:rPr>
      </w:pPr>
      <w:r>
        <w:rPr>
          <w:rFonts w:hint="eastAsia" w:eastAsia="仿宋_GB2312"/>
          <w:sz w:val="28"/>
          <w:szCs w:val="20"/>
        </w:rPr>
        <w:t>本项目由采购方组织验收评审会，验收项目成果。</w:t>
      </w:r>
    </w:p>
    <w:p>
      <w:pPr>
        <w:pStyle w:val="18"/>
      </w:pPr>
      <w:r>
        <w:rPr>
          <w:rFonts w:hint="eastAsia"/>
        </w:rPr>
        <w:t>验收进度安排</w:t>
      </w:r>
    </w:p>
    <w:p>
      <w:pPr>
        <w:ind w:firstLine="560" w:firstLineChars="200"/>
        <w:jc w:val="left"/>
        <w:rPr>
          <w:szCs w:val="20"/>
        </w:rPr>
      </w:pPr>
      <w:r>
        <w:rPr>
          <w:rFonts w:hint="eastAsia" w:ascii="宋体" w:hAnsi="宋体" w:eastAsia="仿宋_GB2312" w:cs="宋体"/>
          <w:color w:val="000000"/>
          <w:kern w:val="0"/>
          <w:sz w:val="28"/>
          <w:szCs w:val="20"/>
        </w:rPr>
        <w:t>所有成果验收完成后，服务方向采购人提出项目验收申请。收到验收申请后</w:t>
      </w:r>
      <w:r>
        <w:rPr>
          <w:rFonts w:ascii="宋体" w:hAnsi="宋体" w:eastAsia="仿宋_GB2312" w:cs="宋体"/>
          <w:color w:val="000000"/>
          <w:kern w:val="0"/>
          <w:sz w:val="28"/>
          <w:szCs w:val="20"/>
          <w:u w:val="single"/>
        </w:rPr>
        <w:t xml:space="preserve"> 15 </w:t>
      </w:r>
      <w:r>
        <w:rPr>
          <w:rFonts w:hint="eastAsia" w:ascii="宋体" w:hAnsi="宋体" w:eastAsia="仿宋_GB2312" w:cs="宋体"/>
          <w:color w:val="000000"/>
          <w:kern w:val="0"/>
          <w:sz w:val="28"/>
          <w:szCs w:val="20"/>
        </w:rPr>
        <w:t>个工作日内采购人启动项目验收流程。</w:t>
      </w:r>
    </w:p>
    <w:p>
      <w:pPr>
        <w:pStyle w:val="15"/>
        <w:rPr>
          <w:rFonts w:ascii="Times New Roman" w:hAnsi="Times New Roman"/>
        </w:rPr>
      </w:pPr>
      <w:r>
        <w:rPr>
          <w:rFonts w:ascii="Times New Roman" w:hAnsi="Times New Roman"/>
        </w:rPr>
        <w:t>其他要求</w:t>
      </w:r>
    </w:p>
    <w:p>
      <w:pPr>
        <w:pStyle w:val="18"/>
      </w:pPr>
      <w:r>
        <w:rPr>
          <w:rFonts w:hint="eastAsia" w:ascii="Times New Roman" w:hAnsi="Times New Roman"/>
        </w:rPr>
        <w:t>培训要求</w:t>
      </w:r>
    </w:p>
    <w:p>
      <w:pPr>
        <w:ind w:firstLine="560" w:firstLineChars="200"/>
        <w:jc w:val="left"/>
        <w:rPr>
          <w:szCs w:val="20"/>
        </w:rPr>
      </w:pPr>
      <w:r>
        <w:rPr>
          <w:rFonts w:hint="eastAsia" w:eastAsia="仿宋_GB2312"/>
          <w:sz w:val="28"/>
          <w:szCs w:val="20"/>
        </w:rPr>
        <w:t>根据实际工作需要开展必要培训工作。</w:t>
      </w:r>
    </w:p>
    <w:p>
      <w:pPr>
        <w:pStyle w:val="18"/>
        <w:rPr>
          <w:rFonts w:ascii="Times New Roman" w:hAnsi="Times New Roman"/>
        </w:rPr>
      </w:pPr>
      <w:r>
        <w:rPr>
          <w:rFonts w:ascii="Times New Roman" w:hAnsi="Times New Roman"/>
        </w:rPr>
        <w:t>资产权属</w:t>
      </w:r>
    </w:p>
    <w:p>
      <w:pPr>
        <w:ind w:firstLine="560" w:firstLineChars="200"/>
        <w:jc w:val="left"/>
        <w:rPr>
          <w:rFonts w:eastAsia="仿宋_GB2312"/>
          <w:sz w:val="28"/>
          <w:szCs w:val="20"/>
        </w:rPr>
      </w:pPr>
      <w:r>
        <w:rPr>
          <w:rFonts w:eastAsia="仿宋_GB2312"/>
          <w:sz w:val="28"/>
          <w:szCs w:val="20"/>
        </w:rPr>
        <w:t>1.</w:t>
      </w:r>
      <w:r>
        <w:rPr>
          <w:rFonts w:hint="eastAsia" w:eastAsia="仿宋_GB2312"/>
          <w:sz w:val="28"/>
          <w:szCs w:val="20"/>
        </w:rPr>
        <w:t>本合同不会引起任何已申请、登记的知识产权所有权的转移。</w:t>
      </w:r>
    </w:p>
    <w:p>
      <w:pPr>
        <w:ind w:firstLine="560" w:firstLineChars="200"/>
        <w:jc w:val="left"/>
        <w:rPr>
          <w:rFonts w:eastAsia="仿宋_GB2312"/>
          <w:sz w:val="28"/>
          <w:szCs w:val="20"/>
        </w:rPr>
      </w:pPr>
      <w:r>
        <w:rPr>
          <w:rFonts w:eastAsia="仿宋_GB2312"/>
          <w:sz w:val="28"/>
          <w:szCs w:val="20"/>
        </w:rPr>
        <w:t>2.</w:t>
      </w:r>
      <w:r>
        <w:rPr>
          <w:rFonts w:hint="eastAsia" w:eastAsia="仿宋_GB2312"/>
          <w:sz w:val="28"/>
          <w:szCs w:val="20"/>
        </w:rPr>
        <w:t>投标人、采购人双方一致同意，本合同所涉服务成果的知识产权归属按下列第</w:t>
      </w:r>
      <w:r>
        <w:rPr>
          <w:rFonts w:hint="eastAsia" w:eastAsia="仿宋_GB2312"/>
          <w:sz w:val="28"/>
          <w:szCs w:val="20"/>
          <w:u w:val="single"/>
          <w:lang w:eastAsia="zh-CN"/>
        </w:rPr>
        <w:t>（</w:t>
      </w:r>
      <w:r>
        <w:rPr>
          <w:rFonts w:eastAsia="仿宋_GB2312"/>
          <w:sz w:val="28"/>
          <w:szCs w:val="20"/>
          <w:u w:val="single"/>
        </w:rPr>
        <w:t>1</w:t>
      </w:r>
      <w:r>
        <w:rPr>
          <w:rFonts w:hint="eastAsia" w:eastAsia="仿宋_GB2312"/>
          <w:sz w:val="28"/>
          <w:szCs w:val="20"/>
          <w:u w:val="single"/>
          <w:lang w:eastAsia="zh-CN"/>
        </w:rPr>
        <w:t>）</w:t>
      </w:r>
      <w:r>
        <w:rPr>
          <w:rFonts w:hint="eastAsia" w:eastAsia="仿宋_GB2312"/>
          <w:sz w:val="28"/>
          <w:szCs w:val="20"/>
        </w:rPr>
        <w:t>种方式处理：</w:t>
      </w:r>
    </w:p>
    <w:p>
      <w:pPr>
        <w:ind w:firstLine="560" w:firstLineChars="200"/>
        <w:jc w:val="left"/>
        <w:rPr>
          <w:rFonts w:eastAsia="仿宋_GB2312"/>
          <w:sz w:val="28"/>
          <w:szCs w:val="20"/>
        </w:rPr>
      </w:pPr>
      <w:r>
        <w:rPr>
          <w:rFonts w:hint="eastAsia" w:eastAsia="仿宋_GB2312"/>
          <w:sz w:val="28"/>
          <w:szCs w:val="20"/>
        </w:rPr>
        <w:t>（</w:t>
      </w:r>
      <w:r>
        <w:rPr>
          <w:rFonts w:eastAsia="仿宋_GB2312"/>
          <w:sz w:val="28"/>
          <w:szCs w:val="20"/>
        </w:rPr>
        <w:t>1</w:t>
      </w:r>
      <w:r>
        <w:rPr>
          <w:rFonts w:hint="eastAsia" w:eastAsia="仿宋_GB2312"/>
          <w:sz w:val="28"/>
          <w:szCs w:val="20"/>
        </w:rPr>
        <w:t>）投标人为履行本合同义务所形成的服务成果的知识产权归采购人所有。</w:t>
      </w:r>
    </w:p>
    <w:p>
      <w:pPr>
        <w:ind w:firstLine="560" w:firstLineChars="200"/>
        <w:jc w:val="left"/>
        <w:rPr>
          <w:rFonts w:eastAsia="仿宋_GB2312"/>
          <w:sz w:val="28"/>
          <w:szCs w:val="20"/>
        </w:rPr>
      </w:pPr>
      <w:r>
        <w:rPr>
          <w:rFonts w:hint="eastAsia" w:eastAsia="仿宋_GB2312"/>
          <w:sz w:val="28"/>
          <w:szCs w:val="20"/>
        </w:rPr>
        <w:t>（</w:t>
      </w:r>
      <w:r>
        <w:rPr>
          <w:rFonts w:eastAsia="仿宋_GB2312"/>
          <w:sz w:val="28"/>
          <w:szCs w:val="20"/>
        </w:rPr>
        <w:t>2</w:t>
      </w:r>
      <w:r>
        <w:rPr>
          <w:rFonts w:hint="eastAsia" w:eastAsia="仿宋_GB2312"/>
          <w:sz w:val="28"/>
          <w:szCs w:val="20"/>
        </w:rPr>
        <w:t>）采购人基于本合同约定委托投标人提供的产品、程序、服务等的知识产权归采购人、投标人（含投标人合作商）共同所有，投标人应按采购人书面要求交付该共有部分的源代码；投标人（含投标人合作商）在共有部分的基础上进行二次开发的及对二次开发形成的产品、程序等财产进行处置的，需经采购人书面同意，二次开发所形成的产品、程序、服务等知识产权归开发者所有，共有部分仍归采购人、投标人（含投标人合作商）共同所有。</w:t>
      </w:r>
    </w:p>
    <w:p>
      <w:pPr>
        <w:ind w:firstLine="560" w:firstLineChars="200"/>
        <w:jc w:val="left"/>
        <w:rPr>
          <w:rFonts w:eastAsia="仿宋_GB2312"/>
          <w:sz w:val="28"/>
          <w:szCs w:val="20"/>
        </w:rPr>
      </w:pPr>
      <w:r>
        <w:rPr>
          <w:rFonts w:eastAsia="仿宋_GB2312"/>
          <w:sz w:val="28"/>
          <w:szCs w:val="20"/>
        </w:rPr>
        <w:t>3.</w:t>
      </w:r>
      <w:r>
        <w:rPr>
          <w:rFonts w:hint="eastAsia" w:eastAsia="仿宋_GB2312"/>
          <w:sz w:val="28"/>
          <w:szCs w:val="20"/>
        </w:rPr>
        <w:t>本合同所涉及的数据所有权归政府所有。投标人只能用于履行本合同之义务。</w:t>
      </w:r>
    </w:p>
    <w:p>
      <w:pPr>
        <w:ind w:firstLine="560" w:firstLineChars="200"/>
        <w:jc w:val="left"/>
        <w:rPr>
          <w:rFonts w:ascii="Times New Roman" w:hAnsi="Times New Roman" w:eastAsia="楷体_GB2312"/>
          <w:i/>
          <w:color w:val="7F7F7F"/>
          <w:sz w:val="28"/>
          <w:szCs w:val="28"/>
        </w:rPr>
      </w:pPr>
      <w:r>
        <w:rPr>
          <w:rFonts w:hint="eastAsia" w:eastAsia="仿宋_GB2312"/>
          <w:sz w:val="28"/>
          <w:szCs w:val="20"/>
        </w:rPr>
        <w:t>4</w:t>
      </w:r>
      <w:r>
        <w:rPr>
          <w:rFonts w:eastAsia="仿宋_GB2312"/>
          <w:sz w:val="28"/>
          <w:szCs w:val="20"/>
        </w:rPr>
        <w:t>.</w:t>
      </w:r>
      <w:r>
        <w:rPr>
          <w:rFonts w:hint="eastAsia" w:eastAsia="仿宋_GB2312"/>
          <w:sz w:val="28"/>
          <w:szCs w:val="20"/>
        </w:rPr>
        <w:t>投标人保证向采购人提供的服务成果是其独立实施完成，不存在任何侵犯第三方专利权、商标权、著作权等合法权益。如因投标人提供的服务成果侵犯任何第三方的合法权益，导致该第三方追究采购人责任的，投标人应负责解决并赔偿因此给采购人造成的全部损失。</w:t>
      </w:r>
    </w:p>
    <w:p>
      <w:pPr>
        <w:pStyle w:val="18"/>
        <w:rPr>
          <w:rFonts w:ascii="Times New Roman" w:hAnsi="Times New Roman"/>
        </w:rPr>
      </w:pPr>
      <w:r>
        <w:rPr>
          <w:rFonts w:ascii="Times New Roman" w:hAnsi="Times New Roman"/>
        </w:rPr>
        <w:t>保密要求</w:t>
      </w:r>
    </w:p>
    <w:p>
      <w:pPr>
        <w:ind w:firstLine="560" w:firstLineChars="200"/>
        <w:jc w:val="left"/>
        <w:rPr>
          <w:rFonts w:eastAsia="仿宋_GB2312"/>
          <w:sz w:val="28"/>
          <w:szCs w:val="20"/>
        </w:rPr>
      </w:pPr>
      <w:r>
        <w:rPr>
          <w:rFonts w:eastAsia="仿宋_GB2312"/>
          <w:sz w:val="28"/>
          <w:szCs w:val="20"/>
        </w:rPr>
        <w:t>1.</w:t>
      </w:r>
      <w:r>
        <w:rPr>
          <w:rFonts w:hint="eastAsia" w:eastAsia="仿宋_GB2312"/>
          <w:sz w:val="28"/>
          <w:szCs w:val="20"/>
        </w:rPr>
        <w:t>投标人应签订保密</w:t>
      </w:r>
      <w:r>
        <w:rPr>
          <w:rFonts w:hint="eastAsia" w:eastAsia="仿宋_GB2312"/>
          <w:sz w:val="28"/>
          <w:szCs w:val="20"/>
          <w:lang w:val="en-US" w:eastAsia="zh-CN"/>
        </w:rPr>
        <w:t>承诺书</w:t>
      </w:r>
      <w:r>
        <w:rPr>
          <w:rFonts w:hint="eastAsia" w:eastAsia="仿宋_GB2312"/>
          <w:sz w:val="28"/>
          <w:szCs w:val="20"/>
        </w:rPr>
        <w:t>，对其因身份、职务、职业或技术关系而知悉的采购人商业秘密和党政机关保密信息应严格保守，保证不被披露或使用，包括意外或过失。</w:t>
      </w:r>
    </w:p>
    <w:p>
      <w:pPr>
        <w:ind w:firstLine="560" w:firstLineChars="200"/>
        <w:jc w:val="left"/>
        <w:rPr>
          <w:rFonts w:eastAsia="仿宋_GB2312"/>
          <w:sz w:val="28"/>
          <w:szCs w:val="20"/>
        </w:rPr>
      </w:pPr>
      <w:r>
        <w:rPr>
          <w:rFonts w:eastAsia="仿宋_GB2312"/>
          <w:sz w:val="28"/>
          <w:szCs w:val="20"/>
        </w:rPr>
        <w:t>2.</w:t>
      </w:r>
      <w:r>
        <w:rPr>
          <w:rFonts w:hint="eastAsia" w:eastAsia="仿宋_GB2312"/>
          <w:sz w:val="28"/>
          <w:szCs w:val="20"/>
        </w:rPr>
        <w:t>投标人不得以竞争为目的、或出于私利、或为第三人谋利而擅自保存、披露、使用采购人商业秘密和党政机关保密信息；不得直接或间接地向无关人员泄露采购人的商业秘密和党政机关保密信息；不得向不承担保密义务的任何第三人披露采购人的商业秘密和党政机关保密信息。投标人在从事政府项目时，不得擅自记录、复制、拍摄、摘抄、收藏在工作中涉及的保密信息，严禁将涉及政府项目的任何资料、数据透露或以其他方式提供给项目以外的其他方或投标人内部与该项目无关的任何人员。</w:t>
      </w:r>
    </w:p>
    <w:p>
      <w:pPr>
        <w:ind w:firstLine="560" w:firstLineChars="200"/>
        <w:jc w:val="left"/>
        <w:rPr>
          <w:rFonts w:eastAsia="仿宋_GB2312"/>
          <w:sz w:val="28"/>
          <w:szCs w:val="20"/>
        </w:rPr>
      </w:pPr>
      <w:r>
        <w:rPr>
          <w:rFonts w:eastAsia="仿宋_GB2312"/>
          <w:sz w:val="28"/>
          <w:szCs w:val="20"/>
        </w:rPr>
        <w:t>3.</w:t>
      </w:r>
      <w:r>
        <w:rPr>
          <w:rFonts w:hint="eastAsia" w:eastAsia="仿宋_GB2312"/>
          <w:sz w:val="28"/>
          <w:szCs w:val="20"/>
        </w:rPr>
        <w:t>投标人对于工作期间知悉采购人的商业秘密和党政机关保密信息（包括业务信息在内）或工作过程中接触到的政府机关文件（包括内部发文、各类通知及会议记录等）的内容，同样承担保密责任，严禁将政府机关内部会议、谈话内容泄露给无关人员；不得翻阅与工作无关的文件和资料。</w:t>
      </w:r>
    </w:p>
    <w:p>
      <w:pPr>
        <w:ind w:firstLine="560" w:firstLineChars="200"/>
        <w:jc w:val="left"/>
        <w:rPr>
          <w:rFonts w:ascii="Times New Roman" w:hAnsi="Times New Roman" w:eastAsia="楷体_GB2312"/>
          <w:i/>
          <w:color w:val="7F7F7F"/>
          <w:sz w:val="28"/>
          <w:szCs w:val="28"/>
        </w:rPr>
      </w:pPr>
      <w:r>
        <w:rPr>
          <w:rFonts w:eastAsia="仿宋_GB2312"/>
          <w:sz w:val="28"/>
          <w:szCs w:val="20"/>
        </w:rPr>
        <w:t>4.</w:t>
      </w:r>
      <w:r>
        <w:rPr>
          <w:rFonts w:hint="eastAsia" w:eastAsia="仿宋_GB2312"/>
          <w:sz w:val="28"/>
          <w:szCs w:val="20"/>
        </w:rPr>
        <w:t>严禁泄露在工作中接触到的政府机关科技研究、发明、装备器材及其技术资料和政府工作信息。</w:t>
      </w:r>
    </w:p>
    <w:p>
      <w:pPr>
        <w:pStyle w:val="17"/>
        <w:rPr>
          <w:rFonts w:ascii="Times New Roman" w:hAnsi="Times New Roman"/>
        </w:rPr>
      </w:pPr>
      <w:r>
        <w:rPr>
          <w:rFonts w:ascii="Times New Roman" w:hAnsi="Times New Roman"/>
        </w:rPr>
        <w:t>付款方式</w:t>
      </w:r>
    </w:p>
    <w:p>
      <w:pPr>
        <w:ind w:firstLine="560" w:firstLineChars="200"/>
        <w:jc w:val="left"/>
        <w:rPr>
          <w:rFonts w:eastAsia="仿宋_GB2312"/>
          <w:sz w:val="28"/>
          <w:szCs w:val="20"/>
        </w:rPr>
      </w:pPr>
      <w:r>
        <w:rPr>
          <w:rFonts w:hint="eastAsia" w:eastAsia="仿宋_GB2312"/>
          <w:sz w:val="28"/>
          <w:szCs w:val="20"/>
        </w:rPr>
        <w:t>本项目计划</w:t>
      </w:r>
      <w:r>
        <w:rPr>
          <w:rFonts w:hint="eastAsia" w:eastAsia="仿宋_GB2312"/>
          <w:sz w:val="28"/>
          <w:szCs w:val="20"/>
          <w:u w:val="single"/>
        </w:rPr>
        <w:t>分期</w:t>
      </w:r>
      <w:r>
        <w:rPr>
          <w:rFonts w:hint="eastAsia" w:eastAsia="仿宋_GB2312"/>
          <w:sz w:val="28"/>
          <w:szCs w:val="20"/>
        </w:rPr>
        <w:t>支付，具体支付方式和时间如下：</w:t>
      </w:r>
    </w:p>
    <w:p>
      <w:pPr>
        <w:ind w:firstLine="560" w:firstLineChars="200"/>
        <w:jc w:val="left"/>
        <w:rPr>
          <w:rFonts w:eastAsia="仿宋_GB2312"/>
          <w:sz w:val="28"/>
          <w:szCs w:val="20"/>
        </w:rPr>
      </w:pPr>
      <w:r>
        <w:rPr>
          <w:rFonts w:hint="eastAsia" w:eastAsia="仿宋_GB2312"/>
          <w:sz w:val="28"/>
          <w:szCs w:val="20"/>
        </w:rPr>
        <w:t>首期款：签订合同后</w:t>
      </w:r>
      <w:r>
        <w:rPr>
          <w:rFonts w:hint="eastAsia" w:eastAsia="仿宋_GB2312"/>
          <w:sz w:val="28"/>
          <w:szCs w:val="20"/>
          <w:u w:val="single"/>
        </w:rPr>
        <w:t xml:space="preserve"> 15 </w:t>
      </w:r>
      <w:r>
        <w:rPr>
          <w:rFonts w:hint="eastAsia" w:eastAsia="仿宋_GB2312"/>
          <w:sz w:val="28"/>
          <w:szCs w:val="20"/>
        </w:rPr>
        <w:t>个工作日内，服务方书面提出支付申请函及拟支付金额等额的符合采购人财务管理要求的相应发票，采购人确认后启动首期款支付流程，约占合同总金额的</w:t>
      </w:r>
      <w:r>
        <w:rPr>
          <w:rFonts w:hint="eastAsia" w:eastAsia="仿宋_GB2312"/>
          <w:sz w:val="28"/>
          <w:szCs w:val="20"/>
          <w:u w:val="single"/>
        </w:rPr>
        <w:t xml:space="preserve"> 60 %</w:t>
      </w:r>
      <w:r>
        <w:rPr>
          <w:rFonts w:hint="eastAsia" w:eastAsia="仿宋_GB2312"/>
          <w:sz w:val="28"/>
          <w:szCs w:val="20"/>
        </w:rPr>
        <w:t>。</w:t>
      </w:r>
    </w:p>
    <w:p>
      <w:pPr>
        <w:ind w:firstLine="560" w:firstLineChars="200"/>
        <w:jc w:val="left"/>
        <w:rPr>
          <w:rFonts w:eastAsia="仿宋_GB2312"/>
          <w:sz w:val="28"/>
          <w:szCs w:val="20"/>
        </w:rPr>
      </w:pPr>
      <w:r>
        <w:rPr>
          <w:rFonts w:hint="eastAsia" w:eastAsia="仿宋_GB2312"/>
          <w:sz w:val="28"/>
          <w:szCs w:val="20"/>
        </w:rPr>
        <w:t>尾款：项目完成并通过采购人验收后</w:t>
      </w:r>
      <w:r>
        <w:rPr>
          <w:rFonts w:hint="eastAsia" w:eastAsia="仿宋_GB2312"/>
          <w:sz w:val="28"/>
          <w:szCs w:val="20"/>
          <w:u w:val="single"/>
        </w:rPr>
        <w:t xml:space="preserve"> 15 </w:t>
      </w:r>
      <w:r>
        <w:rPr>
          <w:rFonts w:hint="eastAsia" w:eastAsia="仿宋_GB2312"/>
          <w:sz w:val="28"/>
          <w:szCs w:val="20"/>
        </w:rPr>
        <w:t>个工作日内，服务方书面提出支付申请函及拟支付金额等额的符合采购人财务管理要求的相应发票，采购人确认后启动尾款支付流程，约占合同总金额的</w:t>
      </w:r>
      <w:r>
        <w:rPr>
          <w:rFonts w:hint="eastAsia" w:eastAsia="仿宋_GB2312"/>
          <w:sz w:val="28"/>
          <w:szCs w:val="20"/>
          <w:u w:val="single"/>
        </w:rPr>
        <w:t xml:space="preserve"> 40 </w:t>
      </w:r>
      <w:r>
        <w:rPr>
          <w:rFonts w:hint="eastAsia" w:eastAsia="仿宋_GB2312"/>
          <w:sz w:val="28"/>
          <w:szCs w:val="20"/>
        </w:rPr>
        <w:t>%。</w:t>
      </w:r>
    </w:p>
    <w:p>
      <w:pPr>
        <w:pStyle w:val="17"/>
        <w:rPr>
          <w:rFonts w:ascii="Times New Roman" w:hAnsi="Times New Roman"/>
        </w:rPr>
      </w:pPr>
      <w:r>
        <w:rPr>
          <w:rFonts w:ascii="Times New Roman" w:hAnsi="Times New Roman"/>
        </w:rPr>
        <w:t>采购方式</w:t>
      </w:r>
    </w:p>
    <w:p>
      <w:pPr>
        <w:ind w:firstLine="560" w:firstLineChars="200"/>
        <w:rPr>
          <w:rFonts w:ascii="Times New Roman" w:hAnsi="Times New Roman" w:eastAsia="仿宋_GB2312"/>
          <w:sz w:val="28"/>
          <w:szCs w:val="28"/>
        </w:rPr>
      </w:pPr>
      <w:bookmarkStart w:id="2" w:name="_Hlk8309193"/>
      <w:bookmarkStart w:id="3" w:name="_Hlk9000655"/>
      <w:r>
        <w:rPr>
          <w:rFonts w:ascii="Times New Roman" w:hAnsi="Times New Roman" w:eastAsia="仿宋_GB2312"/>
          <w:sz w:val="28"/>
          <w:szCs w:val="28"/>
        </w:rPr>
        <w:t>拟采用</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公开遴选</w:t>
      </w:r>
      <w:r>
        <w:rPr>
          <w:rFonts w:ascii="Times New Roman" w:hAnsi="Times New Roman" w:eastAsia="仿宋_GB2312"/>
          <w:sz w:val="28"/>
          <w:szCs w:val="28"/>
          <w:u w:val="single"/>
        </w:rPr>
        <w:t xml:space="preserve">  </w:t>
      </w:r>
      <w:r>
        <w:rPr>
          <w:rFonts w:ascii="Times New Roman" w:hAnsi="Times New Roman" w:eastAsia="仿宋_GB2312"/>
          <w:sz w:val="28"/>
          <w:szCs w:val="28"/>
        </w:rPr>
        <w:t>采购方式。</w:t>
      </w:r>
    </w:p>
    <w:bookmarkEnd w:id="2"/>
    <w:bookmarkEnd w:id="3"/>
    <w:p>
      <w:pPr>
        <w:pStyle w:val="17"/>
        <w:rPr>
          <w:rFonts w:ascii="Times New Roman" w:hAnsi="Times New Roman"/>
        </w:rPr>
      </w:pPr>
      <w:r>
        <w:rPr>
          <w:rFonts w:ascii="Times New Roman" w:hAnsi="Times New Roman"/>
        </w:rPr>
        <w:t>评审方法</w:t>
      </w:r>
    </w:p>
    <w:p>
      <w:pPr>
        <w:ind w:firstLine="560" w:firstLineChars="200"/>
        <w:rPr>
          <w:rFonts w:ascii="Times New Roman" w:hAnsi="Times New Roman" w:eastAsia="仿宋_GB2312"/>
          <w:sz w:val="28"/>
          <w:szCs w:val="28"/>
        </w:rPr>
      </w:pPr>
      <w:r>
        <w:rPr>
          <w:rFonts w:ascii="Times New Roman" w:hAnsi="Times New Roman" w:eastAsia="仿宋_GB2312"/>
          <w:sz w:val="28"/>
          <w:szCs w:val="28"/>
        </w:rPr>
        <w:t>拟采用以下第</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1</w:t>
      </w:r>
      <w:r>
        <w:rPr>
          <w:rFonts w:ascii="Times New Roman" w:hAnsi="Times New Roman" w:eastAsia="仿宋_GB2312"/>
          <w:sz w:val="28"/>
          <w:szCs w:val="28"/>
          <w:u w:val="single"/>
        </w:rPr>
        <w:t xml:space="preserve"> </w:t>
      </w:r>
      <w:r>
        <w:rPr>
          <w:rFonts w:ascii="Times New Roman" w:hAnsi="Times New Roman" w:eastAsia="仿宋_GB2312"/>
          <w:sz w:val="28"/>
          <w:szCs w:val="28"/>
        </w:rPr>
        <w:t>种评审方法：</w:t>
      </w:r>
    </w:p>
    <w:p>
      <w:pPr>
        <w:ind w:firstLine="560" w:firstLineChars="200"/>
        <w:rPr>
          <w:rFonts w:ascii="Times New Roman" w:hAnsi="Times New Roman" w:eastAsia="仿宋_GB2312"/>
          <w:sz w:val="28"/>
          <w:szCs w:val="28"/>
        </w:rPr>
      </w:pPr>
      <w:r>
        <w:rPr>
          <w:rFonts w:ascii="Times New Roman" w:hAnsi="Times New Roman" w:eastAsia="仿宋_GB2312"/>
          <w:sz w:val="28"/>
          <w:szCs w:val="28"/>
        </w:rPr>
        <w:t>1.综合评分法；</w:t>
      </w:r>
    </w:p>
    <w:p>
      <w:pPr>
        <w:ind w:firstLine="560" w:firstLineChars="200"/>
        <w:rPr>
          <w:rFonts w:ascii="Times New Roman" w:hAnsi="Times New Roman" w:eastAsia="仿宋_GB2312"/>
          <w:sz w:val="28"/>
          <w:szCs w:val="28"/>
        </w:rPr>
      </w:pPr>
      <w:r>
        <w:rPr>
          <w:rFonts w:ascii="Times New Roman" w:hAnsi="Times New Roman" w:eastAsia="仿宋_GB2312"/>
          <w:sz w:val="28"/>
          <w:szCs w:val="28"/>
        </w:rPr>
        <w:t>2.最低价法；</w:t>
      </w:r>
    </w:p>
    <w:p>
      <w:pPr>
        <w:ind w:firstLine="560" w:firstLineChars="200"/>
        <w:rPr>
          <w:rFonts w:ascii="Times New Roman" w:hAnsi="Times New Roman" w:eastAsia="楷体_GB2312"/>
          <w:i/>
          <w:color w:val="7F7F7F"/>
          <w:sz w:val="28"/>
          <w:szCs w:val="28"/>
        </w:rPr>
      </w:pPr>
      <w:r>
        <w:rPr>
          <w:rFonts w:ascii="Times New Roman" w:hAnsi="Times New Roman" w:eastAsia="仿宋_GB2312"/>
          <w:sz w:val="28"/>
          <w:szCs w:val="28"/>
        </w:rPr>
        <w:t>3.其他</w:t>
      </w:r>
      <w:r>
        <w:rPr>
          <w:rFonts w:ascii="Times New Roman" w:hAnsi="Times New Roman" w:eastAsia="仿宋_GB2312"/>
          <w:sz w:val="28"/>
          <w:szCs w:val="28"/>
          <w:u w:val="single"/>
        </w:rPr>
        <w:t xml:space="preserve">            </w:t>
      </w:r>
      <w:r>
        <w:rPr>
          <w:rFonts w:ascii="Times New Roman" w:hAnsi="Times New Roman" w:eastAsia="仿宋_GB2312"/>
          <w:sz w:val="28"/>
          <w:szCs w:val="28"/>
        </w:rPr>
        <w:t>。</w:t>
      </w:r>
    </w:p>
    <w:p>
      <w:pPr>
        <w:pStyle w:val="15"/>
        <w:rPr>
          <w:rFonts w:ascii="Times New Roman" w:hAnsi="Times New Roman"/>
        </w:rPr>
      </w:pPr>
      <w:r>
        <w:rPr>
          <w:rFonts w:ascii="Times New Roman" w:hAnsi="Times New Roman"/>
        </w:rPr>
        <w:t>综合评分法</w:t>
      </w:r>
    </w:p>
    <w:p>
      <w:pPr>
        <w:pStyle w:val="18"/>
        <w:rPr>
          <w:rFonts w:ascii="Times New Roman" w:hAnsi="Times New Roman"/>
        </w:rPr>
      </w:pPr>
      <w:r>
        <w:rPr>
          <w:rFonts w:ascii="Times New Roman" w:hAnsi="Times New Roman"/>
        </w:rPr>
        <w:t>评分权值</w:t>
      </w:r>
    </w:p>
    <w:p>
      <w:pPr>
        <w:ind w:firstLine="560" w:firstLineChars="200"/>
        <w:rPr>
          <w:rFonts w:ascii="Times New Roman" w:hAnsi="Times New Roman" w:eastAsia="仿宋_GB2312"/>
          <w:sz w:val="28"/>
          <w:szCs w:val="32"/>
        </w:rPr>
      </w:pPr>
      <w:r>
        <w:rPr>
          <w:rFonts w:ascii="Times New Roman" w:hAnsi="Times New Roman" w:eastAsia="仿宋_GB2312"/>
          <w:sz w:val="28"/>
          <w:szCs w:val="32"/>
        </w:rPr>
        <w:t>总分为100分，评分分值分配如下：</w:t>
      </w:r>
    </w:p>
    <w:tbl>
      <w:tblPr>
        <w:tblStyle w:val="9"/>
        <w:tblW w:w="8504" w:type="dxa"/>
        <w:tblInd w:w="15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957"/>
        <w:gridCol w:w="2151"/>
        <w:gridCol w:w="2271"/>
        <w:gridCol w:w="2125"/>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957" w:type="dxa"/>
            <w:tcBorders>
              <w:top w:val="inset" w:color="111111" w:sz="6" w:space="0"/>
              <w:left w:val="inset" w:color="111111" w:sz="6" w:space="0"/>
              <w:bottom w:val="inset" w:color="111111" w:sz="6" w:space="0"/>
              <w:right w:val="inset" w:color="111111" w:sz="6" w:space="0"/>
            </w:tcBorders>
            <w:vAlign w:val="center"/>
          </w:tcPr>
          <w:p>
            <w:pPr>
              <w:jc w:val="center"/>
              <w:rPr>
                <w:rFonts w:ascii="Times New Roman" w:hAnsi="Times New Roman" w:eastAsia="仿宋_GB2312"/>
                <w:b/>
                <w:sz w:val="24"/>
                <w:szCs w:val="28"/>
              </w:rPr>
            </w:pPr>
            <w:r>
              <w:rPr>
                <w:rFonts w:ascii="Times New Roman" w:hAnsi="Times New Roman" w:eastAsia="仿宋_GB2312"/>
                <w:b/>
                <w:sz w:val="24"/>
                <w:szCs w:val="28"/>
              </w:rPr>
              <w:t>评分项目</w:t>
            </w:r>
          </w:p>
        </w:tc>
        <w:tc>
          <w:tcPr>
            <w:tcW w:w="2151" w:type="dxa"/>
            <w:tcBorders>
              <w:top w:val="inset" w:color="111111" w:sz="6" w:space="0"/>
              <w:left w:val="single" w:color="auto" w:sz="0" w:space="0"/>
              <w:bottom w:val="inset" w:color="111111" w:sz="6" w:space="0"/>
              <w:right w:val="inset" w:color="111111" w:sz="6" w:space="0"/>
            </w:tcBorders>
            <w:vAlign w:val="center"/>
          </w:tcPr>
          <w:p>
            <w:pPr>
              <w:jc w:val="center"/>
              <w:rPr>
                <w:rFonts w:ascii="Times New Roman" w:hAnsi="Times New Roman" w:eastAsia="仿宋_GB2312"/>
                <w:b/>
                <w:sz w:val="24"/>
                <w:szCs w:val="28"/>
              </w:rPr>
            </w:pPr>
            <w:r>
              <w:rPr>
                <w:rFonts w:ascii="Times New Roman" w:hAnsi="Times New Roman" w:eastAsia="仿宋_GB2312"/>
                <w:b/>
                <w:sz w:val="24"/>
                <w:szCs w:val="28"/>
              </w:rPr>
              <w:t>技术评分</w:t>
            </w:r>
          </w:p>
        </w:tc>
        <w:tc>
          <w:tcPr>
            <w:tcW w:w="2271" w:type="dxa"/>
            <w:tcBorders>
              <w:top w:val="inset" w:color="111111" w:sz="6" w:space="0"/>
              <w:left w:val="single" w:color="auto" w:sz="0" w:space="0"/>
              <w:bottom w:val="inset" w:color="111111" w:sz="6" w:space="0"/>
              <w:right w:val="inset" w:color="111111" w:sz="6" w:space="0"/>
            </w:tcBorders>
            <w:vAlign w:val="center"/>
          </w:tcPr>
          <w:p>
            <w:pPr>
              <w:jc w:val="center"/>
              <w:rPr>
                <w:rFonts w:ascii="Times New Roman" w:hAnsi="Times New Roman" w:eastAsia="仿宋_GB2312"/>
                <w:b/>
                <w:sz w:val="24"/>
                <w:szCs w:val="28"/>
              </w:rPr>
            </w:pPr>
            <w:r>
              <w:rPr>
                <w:rFonts w:ascii="Times New Roman" w:hAnsi="Times New Roman" w:eastAsia="仿宋_GB2312"/>
                <w:b/>
                <w:sz w:val="24"/>
                <w:szCs w:val="28"/>
              </w:rPr>
              <w:t>商务评分</w:t>
            </w:r>
          </w:p>
        </w:tc>
        <w:tc>
          <w:tcPr>
            <w:tcW w:w="2125" w:type="dxa"/>
            <w:tcBorders>
              <w:top w:val="inset" w:color="111111" w:sz="6" w:space="0"/>
              <w:left w:val="single" w:color="auto" w:sz="0" w:space="0"/>
              <w:bottom w:val="inset" w:color="111111" w:sz="6" w:space="0"/>
              <w:right w:val="inset" w:color="111111" w:sz="6" w:space="0"/>
            </w:tcBorders>
            <w:vAlign w:val="center"/>
          </w:tcPr>
          <w:p>
            <w:pPr>
              <w:jc w:val="center"/>
              <w:rPr>
                <w:rFonts w:ascii="Times New Roman" w:hAnsi="Times New Roman" w:eastAsia="仿宋_GB2312"/>
                <w:b/>
                <w:sz w:val="24"/>
                <w:szCs w:val="28"/>
              </w:rPr>
            </w:pPr>
            <w:r>
              <w:rPr>
                <w:rFonts w:ascii="Times New Roman" w:hAnsi="Times New Roman" w:eastAsia="仿宋_GB2312"/>
                <w:b/>
                <w:sz w:val="24"/>
                <w:szCs w:val="28"/>
              </w:rPr>
              <w:t>价格评分</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957" w:type="dxa"/>
            <w:tcBorders>
              <w:top w:val="inset" w:color="111111" w:sz="6" w:space="0"/>
              <w:left w:val="inset" w:color="111111" w:sz="6" w:space="0"/>
              <w:bottom w:val="inset" w:color="111111" w:sz="6" w:space="0"/>
              <w:right w:val="inset" w:color="111111" w:sz="6" w:space="0"/>
            </w:tcBorders>
            <w:vAlign w:val="center"/>
          </w:tcPr>
          <w:p>
            <w:pPr>
              <w:jc w:val="center"/>
              <w:rPr>
                <w:rFonts w:ascii="Times New Roman" w:hAnsi="Times New Roman" w:eastAsia="仿宋_GB2312"/>
                <w:sz w:val="24"/>
                <w:szCs w:val="28"/>
              </w:rPr>
            </w:pPr>
            <w:r>
              <w:rPr>
                <w:rFonts w:ascii="Times New Roman" w:hAnsi="Times New Roman" w:eastAsia="仿宋_GB2312"/>
                <w:sz w:val="24"/>
                <w:szCs w:val="28"/>
              </w:rPr>
              <w:t>分值</w:t>
            </w:r>
          </w:p>
        </w:tc>
        <w:tc>
          <w:tcPr>
            <w:tcW w:w="2151" w:type="dxa"/>
            <w:tcBorders>
              <w:top w:val="inset" w:color="111111" w:sz="6" w:space="0"/>
              <w:left w:val="single" w:color="auto" w:sz="0" w:space="0"/>
              <w:bottom w:val="inset" w:color="111111" w:sz="6" w:space="0"/>
              <w:right w:val="inset" w:color="111111" w:sz="6" w:space="0"/>
            </w:tcBorders>
            <w:vAlign w:val="center"/>
          </w:tcPr>
          <w:p>
            <w:pPr>
              <w:jc w:val="center"/>
              <w:rPr>
                <w:rFonts w:ascii="Times New Roman" w:hAnsi="Times New Roman" w:eastAsia="仿宋_GB2312"/>
                <w:sz w:val="24"/>
                <w:szCs w:val="28"/>
              </w:rPr>
            </w:pPr>
            <w:r>
              <w:rPr>
                <w:rFonts w:ascii="Times New Roman" w:hAnsi="Times New Roman" w:eastAsia="仿宋_GB2312"/>
                <w:sz w:val="24"/>
                <w:szCs w:val="28"/>
                <w:u w:val="single"/>
              </w:rPr>
              <w:t xml:space="preserve"> 50   </w:t>
            </w:r>
            <w:r>
              <w:rPr>
                <w:rFonts w:ascii="Times New Roman" w:hAnsi="Times New Roman" w:eastAsia="仿宋_GB2312"/>
                <w:sz w:val="24"/>
                <w:szCs w:val="28"/>
              </w:rPr>
              <w:t>分</w:t>
            </w:r>
          </w:p>
        </w:tc>
        <w:tc>
          <w:tcPr>
            <w:tcW w:w="2271" w:type="dxa"/>
            <w:tcBorders>
              <w:top w:val="inset" w:color="111111" w:sz="6" w:space="0"/>
              <w:left w:val="single" w:color="auto" w:sz="0" w:space="0"/>
              <w:bottom w:val="inset" w:color="111111" w:sz="6" w:space="0"/>
              <w:right w:val="inset" w:color="111111" w:sz="6" w:space="0"/>
            </w:tcBorders>
            <w:vAlign w:val="center"/>
          </w:tcPr>
          <w:p>
            <w:pPr>
              <w:jc w:val="center"/>
              <w:rPr>
                <w:rFonts w:ascii="Times New Roman" w:hAnsi="Times New Roman" w:eastAsia="仿宋_GB2312"/>
                <w:sz w:val="24"/>
                <w:szCs w:val="28"/>
              </w:rPr>
            </w:pPr>
            <w:r>
              <w:rPr>
                <w:rFonts w:ascii="Times New Roman" w:hAnsi="Times New Roman" w:eastAsia="仿宋_GB2312"/>
                <w:sz w:val="24"/>
                <w:szCs w:val="28"/>
                <w:u w:val="single"/>
              </w:rPr>
              <w:t xml:space="preserve">   40 </w:t>
            </w:r>
            <w:r>
              <w:rPr>
                <w:rFonts w:ascii="Times New Roman" w:hAnsi="Times New Roman" w:eastAsia="仿宋_GB2312"/>
                <w:sz w:val="24"/>
                <w:szCs w:val="28"/>
              </w:rPr>
              <w:t>分</w:t>
            </w:r>
          </w:p>
        </w:tc>
        <w:tc>
          <w:tcPr>
            <w:tcW w:w="2125" w:type="dxa"/>
            <w:tcBorders>
              <w:top w:val="inset" w:color="111111" w:sz="6" w:space="0"/>
              <w:left w:val="single" w:color="auto" w:sz="0" w:space="0"/>
              <w:bottom w:val="inset" w:color="111111" w:sz="6" w:space="0"/>
              <w:right w:val="inset" w:color="111111" w:sz="6" w:space="0"/>
            </w:tcBorders>
            <w:vAlign w:val="center"/>
          </w:tcPr>
          <w:p>
            <w:pPr>
              <w:jc w:val="center"/>
              <w:rPr>
                <w:rFonts w:ascii="Times New Roman" w:hAnsi="Times New Roman" w:eastAsia="仿宋_GB2312"/>
                <w:sz w:val="24"/>
                <w:szCs w:val="28"/>
              </w:rPr>
            </w:pPr>
            <w:r>
              <w:rPr>
                <w:rFonts w:ascii="Times New Roman" w:hAnsi="Times New Roman" w:eastAsia="仿宋_GB2312"/>
                <w:sz w:val="24"/>
                <w:szCs w:val="28"/>
                <w:u w:val="single"/>
              </w:rPr>
              <w:t xml:space="preserve">  10  </w:t>
            </w:r>
            <w:r>
              <w:rPr>
                <w:rFonts w:ascii="Times New Roman" w:hAnsi="Times New Roman" w:eastAsia="仿宋_GB2312"/>
                <w:sz w:val="24"/>
                <w:szCs w:val="28"/>
              </w:rPr>
              <w:t>分</w:t>
            </w:r>
          </w:p>
        </w:tc>
      </w:tr>
    </w:tbl>
    <w:p>
      <w:pPr>
        <w:ind w:firstLine="420" w:firstLineChars="200"/>
        <w:rPr>
          <w:rFonts w:ascii="Times New Roman" w:hAnsi="Times New Roman" w:eastAsia="仿宋_GB2312"/>
          <w:color w:val="FF0000"/>
          <w:szCs w:val="21"/>
        </w:rPr>
      </w:pPr>
    </w:p>
    <w:p>
      <w:pPr>
        <w:pStyle w:val="18"/>
        <w:rPr>
          <w:rFonts w:ascii="Times New Roman" w:hAnsi="Times New Roman"/>
        </w:rPr>
      </w:pPr>
      <w:r>
        <w:rPr>
          <w:rFonts w:ascii="Times New Roman" w:hAnsi="Times New Roman"/>
        </w:rPr>
        <w:t>商务评分表</w:t>
      </w:r>
      <w:r>
        <w:rPr>
          <w:rFonts w:hint="eastAsia" w:ascii="Times New Roman" w:hAnsi="Times New Roman"/>
        </w:rPr>
        <w:t>（</w:t>
      </w:r>
      <w:r>
        <w:rPr>
          <w:rFonts w:ascii="Times New Roman" w:hAnsi="Times New Roman"/>
        </w:rPr>
        <w:t>40</w:t>
      </w:r>
      <w:r>
        <w:rPr>
          <w:rFonts w:hint="eastAsia" w:ascii="Times New Roman" w:hAnsi="Times New Roman"/>
        </w:rPr>
        <w:t>分）</w:t>
      </w:r>
    </w:p>
    <w:tbl>
      <w:tblPr>
        <w:tblStyle w:val="9"/>
        <w:tblW w:w="8546"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418"/>
        <w:gridCol w:w="708"/>
        <w:gridCol w:w="5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1" w:type="dxa"/>
            <w:vAlign w:val="center"/>
          </w:tcPr>
          <w:p>
            <w:pPr>
              <w:widowControl/>
              <w:spacing w:line="360" w:lineRule="auto"/>
              <w:jc w:val="center"/>
              <w:rPr>
                <w:rFonts w:ascii="Times New Roman" w:hAnsi="Times New Roman" w:eastAsia="仿宋_GB2312"/>
                <w:b/>
                <w:bCs/>
                <w:kern w:val="0"/>
                <w:sz w:val="24"/>
                <w:szCs w:val="24"/>
              </w:rPr>
            </w:pPr>
            <w:r>
              <w:rPr>
                <w:rFonts w:ascii="Times New Roman" w:hAnsi="Times New Roman" w:eastAsia="仿宋_GB2312"/>
                <w:b/>
                <w:bCs/>
                <w:kern w:val="0"/>
                <w:sz w:val="24"/>
                <w:szCs w:val="24"/>
              </w:rPr>
              <w:t>序号</w:t>
            </w:r>
          </w:p>
        </w:tc>
        <w:tc>
          <w:tcPr>
            <w:tcW w:w="1418" w:type="dxa"/>
            <w:vAlign w:val="center"/>
          </w:tcPr>
          <w:p>
            <w:pPr>
              <w:widowControl/>
              <w:spacing w:line="360" w:lineRule="auto"/>
              <w:jc w:val="center"/>
              <w:rPr>
                <w:rFonts w:ascii="Times New Roman" w:hAnsi="Times New Roman" w:eastAsia="仿宋_GB2312"/>
                <w:b/>
                <w:bCs/>
                <w:kern w:val="0"/>
                <w:sz w:val="24"/>
                <w:szCs w:val="24"/>
              </w:rPr>
            </w:pPr>
            <w:r>
              <w:rPr>
                <w:rFonts w:ascii="Times New Roman" w:hAnsi="Times New Roman" w:eastAsia="仿宋_GB2312"/>
                <w:b/>
                <w:bCs/>
                <w:kern w:val="0"/>
                <w:sz w:val="24"/>
                <w:szCs w:val="24"/>
              </w:rPr>
              <w:t>评审内容</w:t>
            </w:r>
          </w:p>
        </w:tc>
        <w:tc>
          <w:tcPr>
            <w:tcW w:w="708" w:type="dxa"/>
            <w:vAlign w:val="center"/>
          </w:tcPr>
          <w:p>
            <w:pPr>
              <w:widowControl/>
              <w:spacing w:line="360" w:lineRule="auto"/>
              <w:jc w:val="center"/>
              <w:rPr>
                <w:rFonts w:ascii="Times New Roman" w:hAnsi="Times New Roman" w:eastAsia="仿宋_GB2312"/>
                <w:b/>
                <w:bCs/>
                <w:kern w:val="0"/>
                <w:sz w:val="24"/>
                <w:szCs w:val="24"/>
              </w:rPr>
            </w:pPr>
            <w:r>
              <w:rPr>
                <w:rFonts w:ascii="Times New Roman" w:hAnsi="Times New Roman" w:eastAsia="仿宋_GB2312"/>
                <w:b/>
                <w:bCs/>
                <w:kern w:val="0"/>
                <w:sz w:val="24"/>
                <w:szCs w:val="24"/>
              </w:rPr>
              <w:t>分数</w:t>
            </w:r>
          </w:p>
        </w:tc>
        <w:tc>
          <w:tcPr>
            <w:tcW w:w="5699" w:type="dxa"/>
            <w:vAlign w:val="center"/>
          </w:tcPr>
          <w:p>
            <w:pPr>
              <w:widowControl/>
              <w:spacing w:line="360" w:lineRule="auto"/>
              <w:jc w:val="center"/>
              <w:rPr>
                <w:rFonts w:ascii="Times New Roman" w:hAnsi="Times New Roman" w:eastAsia="仿宋_GB2312"/>
                <w:b/>
                <w:bCs/>
                <w:kern w:val="0"/>
                <w:sz w:val="24"/>
                <w:szCs w:val="24"/>
              </w:rPr>
            </w:pPr>
            <w:r>
              <w:rPr>
                <w:rFonts w:ascii="Times New Roman" w:hAnsi="Times New Roman" w:eastAsia="仿宋_GB2312"/>
                <w:b/>
                <w:bCs/>
                <w:kern w:val="0"/>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1" w:type="dxa"/>
            <w:vAlign w:val="center"/>
          </w:tcPr>
          <w:p>
            <w:pPr>
              <w:widowControl/>
              <w:spacing w:line="360" w:lineRule="auto"/>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1</w:t>
            </w:r>
          </w:p>
        </w:tc>
        <w:tc>
          <w:tcPr>
            <w:tcW w:w="1418" w:type="dxa"/>
            <w:vAlign w:val="center"/>
          </w:tcPr>
          <w:p>
            <w:pPr>
              <w:widowControl/>
              <w:spacing w:line="360" w:lineRule="auto"/>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投标人具有</w:t>
            </w:r>
          </w:p>
          <w:p>
            <w:pPr>
              <w:widowControl/>
              <w:spacing w:line="360" w:lineRule="auto"/>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完善信息化</w:t>
            </w:r>
          </w:p>
          <w:p>
            <w:pPr>
              <w:widowControl/>
              <w:spacing w:line="360" w:lineRule="auto"/>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管理体系</w:t>
            </w:r>
          </w:p>
        </w:tc>
        <w:tc>
          <w:tcPr>
            <w:tcW w:w="708" w:type="dxa"/>
            <w:vAlign w:val="center"/>
          </w:tcPr>
          <w:p>
            <w:pPr>
              <w:widowControl/>
              <w:spacing w:line="360" w:lineRule="auto"/>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2</w:t>
            </w:r>
            <w:r>
              <w:rPr>
                <w:rFonts w:ascii="Times New Roman" w:hAnsi="Times New Roman" w:eastAsia="仿宋_GB2312"/>
                <w:kern w:val="0"/>
                <w:sz w:val="24"/>
                <w:szCs w:val="24"/>
              </w:rPr>
              <w:t>0</w:t>
            </w:r>
          </w:p>
        </w:tc>
        <w:tc>
          <w:tcPr>
            <w:tcW w:w="5699" w:type="dxa"/>
            <w:vAlign w:val="center"/>
          </w:tcPr>
          <w:p>
            <w:pPr>
              <w:widowControl/>
              <w:spacing w:line="360" w:lineRule="auto"/>
              <w:jc w:val="left"/>
              <w:rPr>
                <w:rStyle w:val="11"/>
                <w:rFonts w:hint="eastAsia" w:ascii="Times New Roman" w:hAnsi="Times New Roman" w:eastAsia="仿宋_GB2312"/>
                <w:kern w:val="0"/>
                <w:sz w:val="24"/>
                <w:szCs w:val="24"/>
              </w:rPr>
            </w:pPr>
            <w:r>
              <w:rPr>
                <w:rStyle w:val="11"/>
                <w:rFonts w:hint="eastAsia" w:ascii="Times New Roman" w:hAnsi="Times New Roman" w:eastAsia="仿宋_GB2312"/>
                <w:kern w:val="0"/>
                <w:sz w:val="24"/>
                <w:szCs w:val="24"/>
              </w:rPr>
              <w:t>具有完善的管理体系认证且认证范围覆盖信息技术服务， 同时具有以下 7 个证书共得 20 分，每缺少一项扣 3 分，扣完为止。</w:t>
            </w:r>
            <w:r>
              <w:rPr>
                <w:rFonts w:hint="eastAsia" w:ascii="Times New Roman" w:hAnsi="Times New Roman" w:eastAsia="仿宋_GB2312"/>
                <w:color w:val="000000"/>
                <w:kern w:val="0"/>
                <w:sz w:val="24"/>
                <w:szCs w:val="24"/>
              </w:rPr>
              <w:br w:type="textWrapping"/>
            </w:r>
            <w:r>
              <w:rPr>
                <w:rStyle w:val="11"/>
                <w:rFonts w:hint="eastAsia" w:ascii="Times New Roman" w:hAnsi="Times New Roman" w:eastAsia="仿宋_GB2312"/>
                <w:kern w:val="0"/>
                <w:sz w:val="24"/>
                <w:szCs w:val="24"/>
              </w:rPr>
              <w:t>（1）ISO9001 质量管理体系认证</w:t>
            </w:r>
            <w:r>
              <w:rPr>
                <w:rFonts w:hint="eastAsia" w:ascii="Times New Roman" w:hAnsi="Times New Roman" w:eastAsia="仿宋_GB2312"/>
                <w:color w:val="000000"/>
                <w:kern w:val="0"/>
                <w:sz w:val="24"/>
                <w:szCs w:val="24"/>
              </w:rPr>
              <w:br w:type="textWrapping"/>
            </w:r>
            <w:r>
              <w:rPr>
                <w:rStyle w:val="11"/>
                <w:rFonts w:hint="eastAsia" w:ascii="Times New Roman" w:hAnsi="Times New Roman" w:eastAsia="仿宋_GB2312"/>
                <w:kern w:val="0"/>
                <w:sz w:val="24"/>
                <w:szCs w:val="24"/>
              </w:rPr>
              <w:t>（2）ISO/IEC27001 信息安全管理体系认证</w:t>
            </w:r>
            <w:r>
              <w:rPr>
                <w:rFonts w:hint="eastAsia" w:ascii="Times New Roman" w:hAnsi="Times New Roman" w:eastAsia="仿宋_GB2312"/>
                <w:color w:val="000000"/>
                <w:kern w:val="0"/>
                <w:sz w:val="24"/>
                <w:szCs w:val="24"/>
              </w:rPr>
              <w:br w:type="textWrapping"/>
            </w:r>
            <w:r>
              <w:rPr>
                <w:rStyle w:val="11"/>
                <w:rFonts w:hint="eastAsia" w:ascii="Times New Roman" w:hAnsi="Times New Roman" w:eastAsia="仿宋_GB2312"/>
                <w:kern w:val="0"/>
                <w:sz w:val="24"/>
                <w:szCs w:val="24"/>
              </w:rPr>
              <w:t>（3）ISO/IEC20000 信息技术服务管理体系认证</w:t>
            </w:r>
            <w:r>
              <w:rPr>
                <w:rFonts w:hint="eastAsia" w:ascii="Times New Roman" w:hAnsi="Times New Roman" w:eastAsia="仿宋_GB2312"/>
                <w:color w:val="000000"/>
                <w:kern w:val="0"/>
                <w:sz w:val="24"/>
                <w:szCs w:val="24"/>
              </w:rPr>
              <w:br w:type="textWrapping"/>
            </w:r>
            <w:r>
              <w:rPr>
                <w:rStyle w:val="11"/>
                <w:rFonts w:hint="eastAsia" w:ascii="Times New Roman" w:hAnsi="Times New Roman" w:eastAsia="仿宋_GB2312"/>
                <w:kern w:val="0"/>
                <w:sz w:val="24"/>
                <w:szCs w:val="24"/>
              </w:rPr>
              <w:t>（4）ISO14001 环境管理体系认证</w:t>
            </w:r>
            <w:r>
              <w:rPr>
                <w:rFonts w:hint="eastAsia" w:ascii="Times New Roman" w:hAnsi="Times New Roman" w:eastAsia="仿宋_GB2312"/>
                <w:color w:val="000000"/>
                <w:kern w:val="0"/>
                <w:sz w:val="24"/>
                <w:szCs w:val="24"/>
              </w:rPr>
              <w:br w:type="textWrapping"/>
            </w:r>
            <w:r>
              <w:rPr>
                <w:rStyle w:val="11"/>
                <w:rFonts w:hint="eastAsia" w:ascii="Times New Roman" w:hAnsi="Times New Roman" w:eastAsia="仿宋_GB2312"/>
                <w:kern w:val="0"/>
                <w:sz w:val="24"/>
                <w:szCs w:val="24"/>
              </w:rPr>
              <w:t>（5）ISO45001职业健康安全管理体系认证</w:t>
            </w:r>
          </w:p>
          <w:p>
            <w:pPr>
              <w:widowControl/>
              <w:spacing w:line="360" w:lineRule="auto"/>
              <w:jc w:val="left"/>
              <w:rPr>
                <w:rStyle w:val="11"/>
                <w:rFonts w:hint="eastAsia" w:ascii="Times New Roman" w:hAnsi="Times New Roman" w:eastAsia="仿宋_GB2312"/>
                <w:kern w:val="0"/>
                <w:sz w:val="24"/>
                <w:szCs w:val="24"/>
              </w:rPr>
            </w:pPr>
            <w:r>
              <w:rPr>
                <w:rStyle w:val="11"/>
                <w:rFonts w:hint="eastAsia" w:ascii="Times New Roman" w:hAnsi="Times New Roman" w:eastAsia="仿宋_GB2312"/>
                <w:kern w:val="0"/>
                <w:sz w:val="24"/>
                <w:szCs w:val="24"/>
              </w:rPr>
              <w:t>（6）信息安全风险评估服务资质（一级）</w:t>
            </w:r>
          </w:p>
          <w:p>
            <w:pPr>
              <w:widowControl/>
              <w:spacing w:line="360" w:lineRule="auto"/>
              <w:jc w:val="left"/>
              <w:rPr>
                <w:rFonts w:ascii="宋体" w:hAnsi="宋体" w:eastAsia="宋体"/>
                <w:kern w:val="0"/>
                <w:sz w:val="24"/>
                <w:szCs w:val="24"/>
              </w:rPr>
            </w:pPr>
            <w:r>
              <w:rPr>
                <w:rStyle w:val="11"/>
                <w:rFonts w:hint="eastAsia" w:ascii="Times New Roman" w:hAnsi="Times New Roman" w:eastAsia="仿宋_GB2312"/>
                <w:kern w:val="0"/>
                <w:sz w:val="24"/>
                <w:szCs w:val="24"/>
              </w:rPr>
              <w:t>（7）《信息系统业务安全服务资质》一级（政府行业）</w:t>
            </w:r>
            <w:r>
              <w:rPr>
                <w:rFonts w:hint="eastAsia" w:ascii="Times New Roman" w:hAnsi="Times New Roman" w:eastAsia="仿宋_GB2312"/>
                <w:color w:val="000000"/>
                <w:kern w:val="0"/>
                <w:sz w:val="24"/>
                <w:szCs w:val="24"/>
              </w:rPr>
              <w:br w:type="textWrapping"/>
            </w:r>
            <w:r>
              <w:rPr>
                <w:rStyle w:val="11"/>
                <w:rFonts w:hint="eastAsia" w:ascii="Times New Roman" w:hAnsi="Times New Roman" w:eastAsia="仿宋_GB2312"/>
                <w:kern w:val="0"/>
                <w:sz w:val="24"/>
                <w:szCs w:val="24"/>
              </w:rPr>
              <w:t>注： 提供证书复印件，已失效或撤销的不得分。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1" w:type="dxa"/>
            <w:vAlign w:val="center"/>
          </w:tcPr>
          <w:p>
            <w:pPr>
              <w:widowControl/>
              <w:spacing w:line="360" w:lineRule="auto"/>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2</w:t>
            </w:r>
          </w:p>
        </w:tc>
        <w:tc>
          <w:tcPr>
            <w:tcW w:w="1418" w:type="dxa"/>
            <w:vAlign w:val="center"/>
          </w:tcPr>
          <w:p>
            <w:pPr>
              <w:widowControl/>
              <w:spacing w:line="360" w:lineRule="auto"/>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同类项目业</w:t>
            </w:r>
          </w:p>
          <w:p>
            <w:pPr>
              <w:widowControl/>
              <w:spacing w:line="360" w:lineRule="auto"/>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绩</w:t>
            </w:r>
          </w:p>
        </w:tc>
        <w:tc>
          <w:tcPr>
            <w:tcW w:w="708" w:type="dxa"/>
            <w:vAlign w:val="center"/>
          </w:tcPr>
          <w:p>
            <w:pPr>
              <w:widowControl/>
              <w:spacing w:line="360" w:lineRule="auto"/>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12</w:t>
            </w:r>
          </w:p>
        </w:tc>
        <w:tc>
          <w:tcPr>
            <w:tcW w:w="5699" w:type="dxa"/>
            <w:vAlign w:val="center"/>
          </w:tcPr>
          <w:p>
            <w:pPr>
              <w:widowControl/>
              <w:spacing w:line="360" w:lineRule="auto"/>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 xml:space="preserve">投标人提供自 2017 年 1 月（以合同签订时间为准）至今承担过大于100万建设或规划统一身份认证平台系统项目业绩，每提供一份得 2 分，最高得 12 分； </w:t>
            </w:r>
          </w:p>
          <w:p>
            <w:pPr>
              <w:widowControl/>
              <w:spacing w:line="360" w:lineRule="auto"/>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注： 1、提供合同关键页（含项目名称、项目金额与双方盖章、签订日期）复印件，以合同签订时间为准。以上合同不重复计分。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1" w:type="dxa"/>
            <w:vAlign w:val="center"/>
          </w:tcPr>
          <w:p>
            <w:pPr>
              <w:widowControl/>
              <w:spacing w:line="360" w:lineRule="auto"/>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3</w:t>
            </w:r>
          </w:p>
        </w:tc>
        <w:tc>
          <w:tcPr>
            <w:tcW w:w="1418" w:type="dxa"/>
            <w:vAlign w:val="center"/>
          </w:tcPr>
          <w:p>
            <w:pPr>
              <w:widowControl/>
              <w:spacing w:line="360" w:lineRule="auto"/>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团队人员配</w:t>
            </w:r>
          </w:p>
          <w:p>
            <w:pPr>
              <w:widowControl/>
              <w:spacing w:line="360" w:lineRule="auto"/>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置</w:t>
            </w:r>
          </w:p>
        </w:tc>
        <w:tc>
          <w:tcPr>
            <w:tcW w:w="708" w:type="dxa"/>
            <w:vAlign w:val="center"/>
          </w:tcPr>
          <w:p>
            <w:pPr>
              <w:widowControl/>
              <w:spacing w:line="360" w:lineRule="auto"/>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6</w:t>
            </w:r>
          </w:p>
        </w:tc>
        <w:tc>
          <w:tcPr>
            <w:tcW w:w="5699" w:type="dxa"/>
            <w:vAlign w:val="center"/>
          </w:tcPr>
          <w:p>
            <w:pPr>
              <w:pStyle w:val="14"/>
              <w:widowControl/>
              <w:numPr>
                <w:ilvl w:val="0"/>
                <w:numId w:val="2"/>
              </w:numPr>
              <w:spacing w:line="360" w:lineRule="auto"/>
              <w:ind w:firstLineChars="0"/>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项目经理</w:t>
            </w:r>
          </w:p>
          <w:p>
            <w:pPr>
              <w:pStyle w:val="14"/>
              <w:widowControl/>
              <w:numPr>
                <w:ilvl w:val="0"/>
                <w:numId w:val="3"/>
              </w:numPr>
              <w:spacing w:line="360" w:lineRule="auto"/>
              <w:ind w:firstLineChars="0"/>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具有P</w:t>
            </w:r>
            <w:r>
              <w:rPr>
                <w:rFonts w:ascii="Times New Roman" w:hAnsi="Times New Roman" w:eastAsia="仿宋_GB2312"/>
                <w:kern w:val="0"/>
                <w:sz w:val="24"/>
                <w:szCs w:val="24"/>
              </w:rPr>
              <w:t>MP</w:t>
            </w:r>
            <w:r>
              <w:rPr>
                <w:rFonts w:hint="eastAsia" w:ascii="Times New Roman" w:hAnsi="Times New Roman" w:eastAsia="仿宋_GB2312"/>
                <w:kern w:val="0"/>
                <w:sz w:val="24"/>
                <w:szCs w:val="24"/>
              </w:rPr>
              <w:t>或信息系统项目管理师证书；</w:t>
            </w:r>
          </w:p>
          <w:p>
            <w:pPr>
              <w:widowControl/>
              <w:spacing w:line="360" w:lineRule="auto"/>
              <w:ind w:left="360"/>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具有其中一项证书得2分，都没有不得分。</w:t>
            </w:r>
            <w:r>
              <w:rPr>
                <w:rFonts w:ascii="Times New Roman" w:hAnsi="Times New Roman" w:eastAsia="仿宋_GB2312"/>
                <w:kern w:val="0"/>
                <w:sz w:val="24"/>
                <w:szCs w:val="24"/>
              </w:rPr>
              <w:t xml:space="preserve"> </w:t>
            </w:r>
          </w:p>
          <w:p>
            <w:pPr>
              <w:pStyle w:val="14"/>
              <w:widowControl/>
              <w:numPr>
                <w:ilvl w:val="0"/>
                <w:numId w:val="2"/>
              </w:numPr>
              <w:spacing w:line="360" w:lineRule="auto"/>
              <w:ind w:firstLineChars="0"/>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技术服务团队人员</w:t>
            </w:r>
          </w:p>
          <w:p>
            <w:pPr>
              <w:pStyle w:val="14"/>
              <w:widowControl/>
              <w:numPr>
                <w:ilvl w:val="0"/>
                <w:numId w:val="4"/>
              </w:numPr>
              <w:spacing w:line="360" w:lineRule="auto"/>
              <w:ind w:firstLineChars="0"/>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具有PMP证书；</w:t>
            </w:r>
          </w:p>
          <w:p>
            <w:pPr>
              <w:pStyle w:val="14"/>
              <w:widowControl/>
              <w:numPr>
                <w:ilvl w:val="0"/>
                <w:numId w:val="4"/>
              </w:numPr>
              <w:spacing w:line="360" w:lineRule="auto"/>
              <w:ind w:left="1080" w:hanging="720" w:firstLineChars="0"/>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具有C</w:t>
            </w:r>
            <w:r>
              <w:rPr>
                <w:rFonts w:ascii="Times New Roman" w:hAnsi="Times New Roman" w:eastAsia="仿宋_GB2312"/>
                <w:kern w:val="0"/>
                <w:sz w:val="24"/>
                <w:szCs w:val="24"/>
              </w:rPr>
              <w:t>ISP</w:t>
            </w:r>
            <w:r>
              <w:rPr>
                <w:rFonts w:hint="eastAsia" w:ascii="Times New Roman" w:hAnsi="Times New Roman" w:eastAsia="仿宋_GB2312"/>
                <w:kern w:val="0"/>
                <w:sz w:val="24"/>
                <w:szCs w:val="24"/>
              </w:rPr>
              <w:t>注册信息安全专业人员认证</w:t>
            </w:r>
          </w:p>
          <w:p>
            <w:pPr>
              <w:widowControl/>
              <w:spacing w:line="360" w:lineRule="auto"/>
              <w:ind w:left="360" w:firstLine="0" w:firstLineChars="0"/>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团队人员中具有其中一项证书得2分，最高得4分，都没有不得分。</w:t>
            </w:r>
          </w:p>
          <w:p>
            <w:pPr>
              <w:widowControl/>
              <w:spacing w:line="360" w:lineRule="auto"/>
              <w:ind w:left="360" w:firstLine="480"/>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注：</w:t>
            </w:r>
          </w:p>
          <w:p>
            <w:pPr>
              <w:widowControl/>
              <w:spacing w:line="360" w:lineRule="auto"/>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上述人员需提供有效的证书复印件及在本公司任职的外部证明材料：即</w:t>
            </w:r>
            <w:r>
              <w:rPr>
                <w:rFonts w:ascii="Times New Roman" w:hAnsi="Times New Roman" w:eastAsia="仿宋_GB2312"/>
                <w:kern w:val="0"/>
                <w:sz w:val="24"/>
                <w:szCs w:val="24"/>
              </w:rPr>
              <w:t xml:space="preserve"> 20</w:t>
            </w:r>
            <w:r>
              <w:rPr>
                <w:rFonts w:hint="eastAsia" w:ascii="Times New Roman" w:hAnsi="Times New Roman" w:eastAsia="仿宋_GB2312"/>
                <w:kern w:val="0"/>
                <w:sz w:val="24"/>
                <w:szCs w:val="24"/>
              </w:rPr>
              <w:t>20</w:t>
            </w:r>
            <w:r>
              <w:rPr>
                <w:rFonts w:ascii="Times New Roman" w:hAnsi="Times New Roman" w:eastAsia="仿宋_GB2312"/>
                <w:kern w:val="0"/>
                <w:sz w:val="24"/>
                <w:szCs w:val="24"/>
              </w:rPr>
              <w:t xml:space="preserve"> </w:t>
            </w:r>
            <w:r>
              <w:rPr>
                <w:rFonts w:hint="eastAsia" w:ascii="Times New Roman" w:hAnsi="Times New Roman" w:eastAsia="仿宋_GB2312"/>
                <w:kern w:val="0"/>
                <w:sz w:val="24"/>
                <w:szCs w:val="24"/>
              </w:rPr>
              <w:t>年</w:t>
            </w:r>
            <w:r>
              <w:rPr>
                <w:rFonts w:ascii="Times New Roman" w:hAnsi="Times New Roman" w:eastAsia="仿宋_GB2312"/>
                <w:kern w:val="0"/>
                <w:sz w:val="24"/>
                <w:szCs w:val="24"/>
              </w:rPr>
              <w:t xml:space="preserve"> </w:t>
            </w:r>
            <w:r>
              <w:rPr>
                <w:rFonts w:hint="eastAsia" w:ascii="Times New Roman" w:hAnsi="Times New Roman" w:eastAsia="仿宋_GB2312"/>
                <w:kern w:val="0"/>
                <w:sz w:val="24"/>
                <w:szCs w:val="24"/>
              </w:rPr>
              <w:t>7</w:t>
            </w:r>
            <w:r>
              <w:rPr>
                <w:rFonts w:ascii="Times New Roman" w:hAnsi="Times New Roman" w:eastAsia="仿宋_GB2312"/>
                <w:kern w:val="0"/>
                <w:sz w:val="24"/>
                <w:szCs w:val="24"/>
              </w:rPr>
              <w:t xml:space="preserve"> </w:t>
            </w:r>
            <w:r>
              <w:rPr>
                <w:rFonts w:hint="eastAsia" w:ascii="Times New Roman" w:hAnsi="Times New Roman" w:eastAsia="仿宋_GB2312"/>
                <w:kern w:val="0"/>
                <w:sz w:val="24"/>
                <w:szCs w:val="24"/>
              </w:rPr>
              <w:t>月</w:t>
            </w:r>
            <w:r>
              <w:rPr>
                <w:rFonts w:ascii="Times New Roman" w:hAnsi="Times New Roman" w:eastAsia="仿宋_GB2312"/>
                <w:kern w:val="0"/>
                <w:sz w:val="24"/>
                <w:szCs w:val="24"/>
              </w:rPr>
              <w:t xml:space="preserve">-2020 </w:t>
            </w:r>
            <w:r>
              <w:rPr>
                <w:rFonts w:hint="eastAsia" w:ascii="Times New Roman" w:hAnsi="Times New Roman" w:eastAsia="仿宋_GB2312"/>
                <w:kern w:val="0"/>
                <w:sz w:val="24"/>
                <w:szCs w:val="24"/>
              </w:rPr>
              <w:t>年</w:t>
            </w:r>
            <w:r>
              <w:rPr>
                <w:rFonts w:ascii="Times New Roman" w:hAnsi="Times New Roman" w:eastAsia="仿宋_GB2312"/>
                <w:kern w:val="0"/>
                <w:sz w:val="24"/>
                <w:szCs w:val="24"/>
              </w:rPr>
              <w:t xml:space="preserve"> </w:t>
            </w:r>
            <w:r>
              <w:rPr>
                <w:rFonts w:hint="eastAsia" w:ascii="Times New Roman" w:hAnsi="Times New Roman" w:eastAsia="仿宋_GB2312"/>
                <w:kern w:val="0"/>
                <w:sz w:val="24"/>
                <w:szCs w:val="24"/>
              </w:rPr>
              <w:t>9</w:t>
            </w:r>
            <w:r>
              <w:rPr>
                <w:rFonts w:ascii="Times New Roman" w:hAnsi="Times New Roman" w:eastAsia="仿宋_GB2312"/>
                <w:kern w:val="0"/>
                <w:sz w:val="24"/>
                <w:szCs w:val="24"/>
              </w:rPr>
              <w:t xml:space="preserve"> </w:t>
            </w:r>
            <w:r>
              <w:rPr>
                <w:rFonts w:hint="eastAsia" w:ascii="Times New Roman" w:hAnsi="Times New Roman" w:eastAsia="仿宋_GB2312"/>
                <w:kern w:val="0"/>
                <w:sz w:val="24"/>
                <w:szCs w:val="24"/>
              </w:rPr>
              <w:t>月的《投保单》或《社会保险参保证明》，或单位代缴个人所得税税单复印件，</w:t>
            </w:r>
            <w:r>
              <w:rPr>
                <w:rFonts w:ascii="Times New Roman" w:hAnsi="Times New Roman" w:eastAsia="仿宋_GB2312"/>
                <w:kern w:val="0"/>
                <w:sz w:val="24"/>
                <w:szCs w:val="24"/>
              </w:rPr>
              <w:t xml:space="preserve"> </w:t>
            </w:r>
            <w:r>
              <w:rPr>
                <w:rFonts w:hint="eastAsia" w:ascii="Times New Roman" w:hAnsi="Times New Roman" w:eastAsia="仿宋_GB2312"/>
                <w:kern w:val="0"/>
                <w:sz w:val="24"/>
                <w:szCs w:val="24"/>
              </w:rPr>
              <w:t>由本单位或其分支机构工商注册地社保部门（或税务部门）出具并加盖印章（或电子印章）（说明：为方便评审，请在社保证明文件中标注出相应人员），不提供不得分。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1" w:type="dxa"/>
            <w:vAlign w:val="center"/>
          </w:tcPr>
          <w:p>
            <w:pPr>
              <w:widowControl/>
              <w:spacing w:line="360" w:lineRule="auto"/>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4</w:t>
            </w:r>
          </w:p>
        </w:tc>
        <w:tc>
          <w:tcPr>
            <w:tcW w:w="1418" w:type="dxa"/>
            <w:vAlign w:val="center"/>
          </w:tcPr>
          <w:p>
            <w:pPr>
              <w:widowControl/>
              <w:spacing w:line="360" w:lineRule="auto"/>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投标人信誉及履约能力</w:t>
            </w:r>
          </w:p>
        </w:tc>
        <w:tc>
          <w:tcPr>
            <w:tcW w:w="708" w:type="dxa"/>
            <w:vAlign w:val="center"/>
          </w:tcPr>
          <w:p>
            <w:pPr>
              <w:widowControl/>
              <w:spacing w:line="360" w:lineRule="auto"/>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2</w:t>
            </w:r>
          </w:p>
        </w:tc>
        <w:tc>
          <w:tcPr>
            <w:tcW w:w="5699" w:type="dxa"/>
            <w:vAlign w:val="center"/>
          </w:tcPr>
          <w:p>
            <w:pPr>
              <w:widowControl/>
              <w:spacing w:line="360" w:lineRule="auto"/>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投标人2019年度纳税信用等级评定为A</w:t>
            </w:r>
            <w:r>
              <w:rPr>
                <w:rFonts w:ascii="Times New Roman" w:hAnsi="Times New Roman" w:eastAsia="仿宋_GB2312"/>
                <w:kern w:val="0"/>
                <w:sz w:val="24"/>
                <w:szCs w:val="24"/>
              </w:rPr>
              <w:t>AA</w:t>
            </w:r>
            <w:r>
              <w:rPr>
                <w:rFonts w:hint="eastAsia" w:ascii="Times New Roman" w:hAnsi="Times New Roman" w:eastAsia="仿宋_GB2312"/>
                <w:kern w:val="0"/>
                <w:sz w:val="24"/>
                <w:szCs w:val="24"/>
              </w:rPr>
              <w:t>级得2分</w:t>
            </w:r>
            <w:r>
              <w:rPr>
                <w:rFonts w:hint="eastAsia" w:ascii="Times New Roman" w:hAnsi="Times New Roman" w:eastAsia="仿宋_GB2312"/>
                <w:kern w:val="0"/>
                <w:sz w:val="24"/>
                <w:szCs w:val="24"/>
                <w:lang w:eastAsia="zh-CN"/>
              </w:rPr>
              <w:t>（</w:t>
            </w:r>
            <w:r>
              <w:rPr>
                <w:rFonts w:hint="eastAsia" w:ascii="Times New Roman" w:hAnsi="Times New Roman" w:eastAsia="仿宋_GB2312"/>
                <w:kern w:val="0"/>
                <w:sz w:val="24"/>
                <w:szCs w:val="24"/>
              </w:rPr>
              <w:t>需提供税务系统查询截图或证书复印件</w:t>
            </w:r>
            <w:r>
              <w:rPr>
                <w:rFonts w:hint="eastAsia" w:ascii="Times New Roman" w:hAnsi="Times New Roman" w:eastAsia="仿宋_GB2312"/>
                <w:kern w:val="0"/>
                <w:sz w:val="24"/>
                <w:szCs w:val="24"/>
                <w:lang w:eastAsia="zh-CN"/>
              </w:rPr>
              <w:t>，</w:t>
            </w:r>
            <w:r>
              <w:rPr>
                <w:rFonts w:hint="eastAsia" w:ascii="Times New Roman" w:hAnsi="Times New Roman" w:eastAsia="仿宋_GB2312"/>
                <w:kern w:val="0"/>
                <w:sz w:val="24"/>
                <w:szCs w:val="24"/>
                <w:lang w:val="en-US" w:eastAsia="zh-CN"/>
              </w:rPr>
              <w:t>不提供不得分</w:t>
            </w:r>
            <w:r>
              <w:rPr>
                <w:rFonts w:hint="eastAsia" w:ascii="Times New Roman" w:hAnsi="Times New Roman" w:eastAsia="仿宋_GB2312"/>
                <w:kern w:val="0"/>
                <w:sz w:val="24"/>
                <w:szCs w:val="24"/>
                <w:lang w:eastAsia="zh-CN"/>
              </w:rPr>
              <w:t>）；</w:t>
            </w:r>
            <w:r>
              <w:rPr>
                <w:rFonts w:hint="eastAsia" w:ascii="Times New Roman" w:hAnsi="Times New Roman" w:eastAsia="仿宋_GB2312"/>
                <w:kern w:val="0"/>
                <w:sz w:val="24"/>
                <w:szCs w:val="24"/>
                <w:lang w:val="en-US" w:eastAsia="zh-CN"/>
              </w:rPr>
              <w:t>新设立企业因成立时间影响无法获得等级的，得2分；其他情况得0分。</w:t>
            </w:r>
          </w:p>
          <w:p>
            <w:pPr>
              <w:widowControl/>
              <w:spacing w:line="360" w:lineRule="auto"/>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注：“新设立企业”指从首次在税务机关办理涉税事宜之日起时间不满一个评价年度的企业。评价年度是指公历年度，即1月1日至12月31日。</w:t>
            </w:r>
          </w:p>
        </w:tc>
      </w:tr>
    </w:tbl>
    <w:p>
      <w:pPr>
        <w:ind w:firstLine="420" w:firstLineChars="200"/>
        <w:rPr>
          <w:rFonts w:ascii="Times New Roman" w:hAnsi="Times New Roman" w:eastAsia="仿宋_GB2312"/>
          <w:color w:val="FF0000"/>
          <w:szCs w:val="21"/>
        </w:rPr>
      </w:pPr>
    </w:p>
    <w:p>
      <w:pPr>
        <w:pStyle w:val="18"/>
        <w:rPr>
          <w:rFonts w:ascii="Times New Roman" w:hAnsi="Times New Roman"/>
        </w:rPr>
      </w:pPr>
      <w:r>
        <w:rPr>
          <w:rFonts w:ascii="Times New Roman" w:hAnsi="Times New Roman"/>
        </w:rPr>
        <w:t>技术评分表</w:t>
      </w:r>
      <w:r>
        <w:rPr>
          <w:rFonts w:hint="eastAsia" w:ascii="Times New Roman" w:hAnsi="Times New Roman"/>
        </w:rPr>
        <w:t>（</w:t>
      </w:r>
      <w:r>
        <w:rPr>
          <w:rFonts w:ascii="Times New Roman" w:hAnsi="Times New Roman"/>
        </w:rPr>
        <w:t>5</w:t>
      </w:r>
      <w:r>
        <w:rPr>
          <w:rFonts w:hint="eastAsia" w:ascii="Times New Roman" w:hAnsi="Times New Roman"/>
        </w:rPr>
        <w:t>0分）</w:t>
      </w:r>
    </w:p>
    <w:tbl>
      <w:tblPr>
        <w:tblStyle w:val="9"/>
        <w:tblW w:w="8546"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418"/>
        <w:gridCol w:w="708"/>
        <w:gridCol w:w="5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trPr>
        <w:tc>
          <w:tcPr>
            <w:tcW w:w="721" w:type="dxa"/>
            <w:vAlign w:val="center"/>
          </w:tcPr>
          <w:p>
            <w:pPr>
              <w:widowControl/>
              <w:spacing w:line="360" w:lineRule="auto"/>
              <w:jc w:val="center"/>
              <w:rPr>
                <w:rFonts w:ascii="Times New Roman" w:hAnsi="Times New Roman" w:eastAsia="仿宋_GB2312"/>
                <w:b/>
                <w:bCs/>
                <w:kern w:val="0"/>
                <w:sz w:val="24"/>
                <w:szCs w:val="24"/>
              </w:rPr>
            </w:pPr>
            <w:r>
              <w:rPr>
                <w:rFonts w:ascii="Times New Roman" w:hAnsi="Times New Roman" w:eastAsia="仿宋_GB2312"/>
                <w:b/>
                <w:bCs/>
                <w:kern w:val="0"/>
                <w:sz w:val="24"/>
                <w:szCs w:val="24"/>
              </w:rPr>
              <w:t>序号</w:t>
            </w:r>
          </w:p>
        </w:tc>
        <w:tc>
          <w:tcPr>
            <w:tcW w:w="1418" w:type="dxa"/>
            <w:vAlign w:val="center"/>
          </w:tcPr>
          <w:p>
            <w:pPr>
              <w:widowControl/>
              <w:spacing w:line="360" w:lineRule="auto"/>
              <w:jc w:val="center"/>
              <w:rPr>
                <w:rFonts w:ascii="Times New Roman" w:hAnsi="Times New Roman" w:eastAsia="仿宋_GB2312"/>
                <w:b/>
                <w:bCs/>
                <w:kern w:val="0"/>
                <w:sz w:val="24"/>
                <w:szCs w:val="24"/>
              </w:rPr>
            </w:pPr>
            <w:r>
              <w:rPr>
                <w:rFonts w:ascii="Times New Roman" w:hAnsi="Times New Roman" w:eastAsia="仿宋_GB2312"/>
                <w:b/>
                <w:bCs/>
                <w:kern w:val="0"/>
                <w:sz w:val="24"/>
                <w:szCs w:val="24"/>
              </w:rPr>
              <w:t>评审内容</w:t>
            </w:r>
          </w:p>
        </w:tc>
        <w:tc>
          <w:tcPr>
            <w:tcW w:w="708" w:type="dxa"/>
            <w:vAlign w:val="center"/>
          </w:tcPr>
          <w:p>
            <w:pPr>
              <w:widowControl/>
              <w:spacing w:line="360" w:lineRule="auto"/>
              <w:jc w:val="center"/>
              <w:rPr>
                <w:rFonts w:ascii="Times New Roman" w:hAnsi="Times New Roman" w:eastAsia="仿宋_GB2312"/>
                <w:b/>
                <w:bCs/>
                <w:kern w:val="0"/>
                <w:sz w:val="24"/>
                <w:szCs w:val="24"/>
              </w:rPr>
            </w:pPr>
            <w:r>
              <w:rPr>
                <w:rFonts w:ascii="Times New Roman" w:hAnsi="Times New Roman" w:eastAsia="仿宋_GB2312"/>
                <w:b/>
                <w:bCs/>
                <w:kern w:val="0"/>
                <w:sz w:val="24"/>
                <w:szCs w:val="24"/>
              </w:rPr>
              <w:t>分数</w:t>
            </w:r>
          </w:p>
        </w:tc>
        <w:tc>
          <w:tcPr>
            <w:tcW w:w="5699" w:type="dxa"/>
            <w:vAlign w:val="center"/>
          </w:tcPr>
          <w:p>
            <w:pPr>
              <w:widowControl/>
              <w:spacing w:line="360" w:lineRule="auto"/>
              <w:jc w:val="center"/>
              <w:rPr>
                <w:rFonts w:ascii="Times New Roman" w:hAnsi="Times New Roman" w:eastAsia="仿宋_GB2312"/>
                <w:b/>
                <w:bCs/>
                <w:kern w:val="0"/>
                <w:sz w:val="24"/>
                <w:szCs w:val="24"/>
              </w:rPr>
            </w:pPr>
            <w:r>
              <w:rPr>
                <w:rFonts w:ascii="Times New Roman" w:hAnsi="Times New Roman" w:eastAsia="仿宋_GB2312"/>
                <w:b/>
                <w:bCs/>
                <w:kern w:val="0"/>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1" w:type="dxa"/>
            <w:vAlign w:val="center"/>
          </w:tcPr>
          <w:p>
            <w:pPr>
              <w:widowControl/>
              <w:spacing w:line="360" w:lineRule="auto"/>
              <w:jc w:val="center"/>
              <w:rPr>
                <w:rFonts w:ascii="Times New Roman" w:hAnsi="Times New Roman" w:eastAsia="仿宋_GB2312"/>
                <w:b/>
                <w:bCs/>
                <w:kern w:val="0"/>
                <w:sz w:val="24"/>
                <w:szCs w:val="24"/>
              </w:rPr>
            </w:pPr>
            <w:r>
              <w:rPr>
                <w:rFonts w:ascii="仿宋_GB2312" w:hAnsi="仿宋_GB2312" w:eastAsia="仿宋_GB2312" w:cs="仿宋_GB2312"/>
                <w:b/>
                <w:bCs/>
                <w:kern w:val="0"/>
                <w:sz w:val="24"/>
                <w:szCs w:val="24"/>
              </w:rPr>
              <w:t>1</w:t>
            </w:r>
          </w:p>
        </w:tc>
        <w:tc>
          <w:tcPr>
            <w:tcW w:w="1418" w:type="dxa"/>
            <w:vAlign w:val="center"/>
          </w:tcPr>
          <w:p>
            <w:pPr>
              <w:widowControl/>
              <w:spacing w:line="360" w:lineRule="auto"/>
              <w:jc w:val="center"/>
              <w:rPr>
                <w:rFonts w:ascii="Times New Roman" w:hAnsi="Times New Roman" w:eastAsia="仿宋_GB2312"/>
                <w:b/>
                <w:bCs/>
                <w:kern w:val="0"/>
                <w:sz w:val="24"/>
                <w:szCs w:val="24"/>
              </w:rPr>
            </w:pPr>
            <w:r>
              <w:rPr>
                <w:rFonts w:hint="eastAsia" w:ascii="仿宋_GB2312" w:hAnsi="仿宋_GB2312" w:eastAsia="仿宋_GB2312" w:cs="仿宋_GB2312"/>
                <w:sz w:val="24"/>
                <w:szCs w:val="24"/>
                <w:lang w:eastAsia="zh-Hans"/>
              </w:rPr>
              <w:t>对广东</w:t>
            </w:r>
            <w:r>
              <w:rPr>
                <w:rFonts w:hint="eastAsia" w:ascii="仿宋_GB2312" w:hAnsi="仿宋_GB2312" w:eastAsia="仿宋_GB2312" w:cs="仿宋_GB2312"/>
                <w:sz w:val="24"/>
                <w:szCs w:val="24"/>
              </w:rPr>
              <w:t>统一身份认证平台</w:t>
            </w:r>
            <w:r>
              <w:rPr>
                <w:rFonts w:hint="eastAsia" w:ascii="仿宋_GB2312" w:hAnsi="仿宋_GB2312" w:eastAsia="仿宋_GB2312" w:cs="仿宋_GB2312"/>
                <w:sz w:val="24"/>
                <w:szCs w:val="24"/>
                <w:lang w:eastAsia="zh-Hans"/>
              </w:rPr>
              <w:t>以及应用现状、问题的理解分析</w:t>
            </w:r>
          </w:p>
        </w:tc>
        <w:tc>
          <w:tcPr>
            <w:tcW w:w="708" w:type="dxa"/>
            <w:vAlign w:val="center"/>
          </w:tcPr>
          <w:p>
            <w:pPr>
              <w:widowControl/>
              <w:spacing w:line="360" w:lineRule="auto"/>
              <w:jc w:val="center"/>
              <w:rPr>
                <w:rFonts w:ascii="Times New Roman" w:hAnsi="Times New Roman" w:eastAsia="仿宋_GB2312"/>
                <w:b/>
                <w:bCs/>
                <w:kern w:val="0"/>
                <w:sz w:val="24"/>
                <w:szCs w:val="24"/>
              </w:rPr>
            </w:pPr>
            <w:r>
              <w:rPr>
                <w:rFonts w:ascii="仿宋_GB2312" w:hAnsi="仿宋_GB2312" w:eastAsia="仿宋_GB2312" w:cs="仿宋_GB2312"/>
                <w:b/>
                <w:bCs/>
                <w:kern w:val="0"/>
                <w:sz w:val="24"/>
                <w:szCs w:val="24"/>
              </w:rPr>
              <w:t>10</w:t>
            </w:r>
          </w:p>
        </w:tc>
        <w:tc>
          <w:tcPr>
            <w:tcW w:w="5699" w:type="dxa"/>
            <w:vAlign w:val="center"/>
          </w:tcPr>
          <w:p>
            <w:pPr>
              <w:widowControl/>
              <w:spacing w:line="360" w:lineRule="auto"/>
              <w:jc w:val="left"/>
              <w:rPr>
                <w:rFonts w:ascii="Times New Roman" w:hAnsi="Times New Roman" w:eastAsia="仿宋_GB2312"/>
                <w:b/>
                <w:bCs/>
                <w:kern w:val="0"/>
                <w:sz w:val="24"/>
                <w:szCs w:val="24"/>
              </w:rPr>
            </w:pPr>
            <w:r>
              <w:rPr>
                <w:rFonts w:hint="eastAsia" w:ascii="仿宋_GB2312" w:hAnsi="仿宋_GB2312" w:eastAsia="仿宋_GB2312" w:cs="仿宋_GB2312"/>
                <w:sz w:val="24"/>
                <w:szCs w:val="24"/>
                <w:lang w:eastAsia="zh-Hans"/>
              </w:rPr>
              <w:t>对投标人提出的广东省统一身份认证平台及应用现状、问题进行理解分析，从准确性、合理性等方面打分，投标人提出的分析准确合理，完全满足或优于采购需求，得</w:t>
            </w:r>
            <w:r>
              <w:rPr>
                <w:rFonts w:ascii="仿宋_GB2312" w:hAnsi="仿宋_GB2312" w:eastAsia="仿宋_GB2312" w:cs="仿宋_GB2312"/>
                <w:sz w:val="24"/>
                <w:szCs w:val="24"/>
                <w:lang w:eastAsia="zh-Hans"/>
              </w:rPr>
              <w:t>10分；投标人提出的分析比较准确合理，基本满足采购需求，得6分；投保人提出的分析不太准确合理，不能满足采购需求，得3分，未提供相关材料得0分。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1" w:type="dxa"/>
            <w:vAlign w:val="center"/>
          </w:tcPr>
          <w:p>
            <w:pPr>
              <w:widowControl/>
              <w:spacing w:line="360" w:lineRule="auto"/>
              <w:jc w:val="center"/>
              <w:rPr>
                <w:rFonts w:ascii="Times New Roman" w:hAnsi="Times New Roman" w:eastAsia="仿宋_GB2312"/>
                <w:b/>
                <w:bCs/>
                <w:kern w:val="0"/>
                <w:sz w:val="24"/>
                <w:szCs w:val="24"/>
              </w:rPr>
            </w:pPr>
            <w:r>
              <w:rPr>
                <w:rFonts w:ascii="仿宋_GB2312" w:hAnsi="仿宋_GB2312" w:eastAsia="仿宋_GB2312" w:cs="仿宋_GB2312"/>
                <w:b/>
                <w:bCs/>
                <w:kern w:val="0"/>
                <w:sz w:val="24"/>
                <w:szCs w:val="24"/>
              </w:rPr>
              <w:t>2</w:t>
            </w:r>
          </w:p>
        </w:tc>
        <w:tc>
          <w:tcPr>
            <w:tcW w:w="1418" w:type="dxa"/>
            <w:vAlign w:val="center"/>
          </w:tcPr>
          <w:p>
            <w:pPr>
              <w:widowControl/>
              <w:spacing w:line="360" w:lineRule="auto"/>
              <w:jc w:val="center"/>
              <w:rPr>
                <w:rFonts w:ascii="Times New Roman" w:hAnsi="Times New Roman" w:eastAsia="仿宋_GB2312"/>
                <w:b/>
                <w:bCs/>
                <w:kern w:val="0"/>
                <w:sz w:val="24"/>
                <w:szCs w:val="24"/>
              </w:rPr>
            </w:pPr>
            <w:r>
              <w:rPr>
                <w:rFonts w:hint="eastAsia" w:ascii="仿宋_GB2312" w:hAnsi="仿宋_GB2312" w:eastAsia="仿宋_GB2312" w:cs="仿宋_GB2312"/>
                <w:sz w:val="24"/>
                <w:szCs w:val="24"/>
                <w:lang w:eastAsia="zh-Hans"/>
              </w:rPr>
              <w:t>对广东接入</w:t>
            </w:r>
            <w:r>
              <w:rPr>
                <w:rFonts w:hint="eastAsia" w:ascii="仿宋_GB2312" w:hAnsi="仿宋_GB2312" w:eastAsia="仿宋_GB2312" w:cs="仿宋_GB2312"/>
                <w:sz w:val="24"/>
                <w:szCs w:val="24"/>
              </w:rPr>
              <w:t>统一身份认证</w:t>
            </w:r>
            <w:r>
              <w:rPr>
                <w:rFonts w:hint="eastAsia" w:ascii="仿宋_GB2312" w:hAnsi="仿宋_GB2312" w:eastAsia="仿宋_GB2312" w:cs="仿宋_GB2312"/>
                <w:sz w:val="24"/>
                <w:szCs w:val="24"/>
                <w:lang w:eastAsia="zh-Hans"/>
              </w:rPr>
              <w:t>平台的</w:t>
            </w:r>
            <w:r>
              <w:rPr>
                <w:rFonts w:hint="eastAsia" w:ascii="仿宋_GB2312" w:hAnsi="仿宋_GB2312" w:eastAsia="仿宋_GB2312" w:cs="仿宋_GB2312"/>
                <w:sz w:val="24"/>
                <w:szCs w:val="24"/>
              </w:rPr>
              <w:t>应用</w:t>
            </w:r>
            <w:r>
              <w:rPr>
                <w:rFonts w:hint="eastAsia" w:ascii="仿宋_GB2312" w:hAnsi="仿宋_GB2312" w:eastAsia="仿宋_GB2312" w:cs="仿宋_GB2312"/>
                <w:sz w:val="24"/>
                <w:szCs w:val="24"/>
                <w:lang w:eastAsia="zh-Hans"/>
              </w:rPr>
              <w:t>系统</w:t>
            </w:r>
            <w:r>
              <w:rPr>
                <w:rFonts w:hint="eastAsia" w:ascii="仿宋_GB2312" w:hAnsi="仿宋_GB2312" w:eastAsia="仿宋_GB2312" w:cs="仿宋_GB2312"/>
                <w:sz w:val="24"/>
                <w:szCs w:val="24"/>
              </w:rPr>
              <w:t>情况、</w:t>
            </w:r>
            <w:r>
              <w:rPr>
                <w:rFonts w:hint="eastAsia" w:ascii="仿宋_GB2312" w:hAnsi="仿宋_GB2312" w:eastAsia="仿宋_GB2312" w:cs="仿宋_GB2312"/>
                <w:sz w:val="24"/>
                <w:szCs w:val="24"/>
                <w:lang w:eastAsia="zh-Hans"/>
              </w:rPr>
              <w:t>问题的理解分析</w:t>
            </w:r>
          </w:p>
        </w:tc>
        <w:tc>
          <w:tcPr>
            <w:tcW w:w="708" w:type="dxa"/>
            <w:vAlign w:val="center"/>
          </w:tcPr>
          <w:p>
            <w:pPr>
              <w:widowControl/>
              <w:spacing w:line="360" w:lineRule="auto"/>
              <w:jc w:val="center"/>
              <w:rPr>
                <w:rFonts w:ascii="Times New Roman" w:hAnsi="Times New Roman" w:eastAsia="仿宋_GB2312"/>
                <w:b/>
                <w:bCs/>
                <w:kern w:val="0"/>
                <w:sz w:val="24"/>
                <w:szCs w:val="24"/>
              </w:rPr>
            </w:pPr>
            <w:r>
              <w:rPr>
                <w:rFonts w:ascii="仿宋_GB2312" w:hAnsi="仿宋_GB2312" w:eastAsia="仿宋_GB2312" w:cs="仿宋_GB2312"/>
                <w:b/>
                <w:bCs/>
                <w:kern w:val="0"/>
                <w:sz w:val="24"/>
                <w:szCs w:val="24"/>
              </w:rPr>
              <w:t>10</w:t>
            </w:r>
          </w:p>
        </w:tc>
        <w:tc>
          <w:tcPr>
            <w:tcW w:w="5699" w:type="dxa"/>
            <w:vAlign w:val="center"/>
          </w:tcPr>
          <w:p>
            <w:pPr>
              <w:widowControl/>
              <w:spacing w:line="360" w:lineRule="auto"/>
              <w:jc w:val="left"/>
              <w:rPr>
                <w:rFonts w:ascii="Times New Roman" w:hAnsi="Times New Roman" w:eastAsia="仿宋_GB2312"/>
                <w:b/>
                <w:bCs/>
                <w:kern w:val="0"/>
                <w:sz w:val="24"/>
                <w:szCs w:val="24"/>
              </w:rPr>
            </w:pPr>
            <w:r>
              <w:rPr>
                <w:rFonts w:hint="eastAsia" w:ascii="仿宋_GB2312" w:hAnsi="仿宋_GB2312" w:eastAsia="仿宋_GB2312" w:cs="仿宋_GB2312"/>
                <w:sz w:val="24"/>
                <w:szCs w:val="24"/>
                <w:lang w:eastAsia="zh-Hans"/>
              </w:rPr>
              <w:t>对投标人提出的广东省接入统一身份认证平台的应用系统情况、问题进行理解分析，从准确性、合理性等方面打分，投标人提出的分析准确合理，完全满足或优于采购需求，得</w:t>
            </w:r>
            <w:r>
              <w:rPr>
                <w:rFonts w:ascii="仿宋_GB2312" w:hAnsi="仿宋_GB2312" w:eastAsia="仿宋_GB2312" w:cs="仿宋_GB2312"/>
                <w:sz w:val="24"/>
                <w:szCs w:val="24"/>
                <w:lang w:eastAsia="zh-Hans"/>
              </w:rPr>
              <w:t>10分；投标人提出的分析比较准确合理，基本满足采购需求，得6分；投保人提出的分析不太准确合理，不能满足采购需求，得3分，未提供相关材料得0分。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1" w:type="dxa"/>
            <w:vAlign w:val="center"/>
          </w:tcPr>
          <w:p>
            <w:pPr>
              <w:widowControl/>
              <w:spacing w:line="360" w:lineRule="auto"/>
              <w:jc w:val="center"/>
              <w:rPr>
                <w:rFonts w:ascii="Times New Roman" w:hAnsi="Times New Roman" w:eastAsia="仿宋_GB2312"/>
                <w:b/>
                <w:bCs/>
                <w:kern w:val="0"/>
                <w:sz w:val="24"/>
                <w:szCs w:val="24"/>
              </w:rPr>
            </w:pPr>
            <w:r>
              <w:rPr>
                <w:rFonts w:ascii="仿宋_GB2312" w:hAnsi="仿宋_GB2312" w:eastAsia="仿宋_GB2312" w:cs="仿宋_GB2312"/>
                <w:b/>
                <w:bCs/>
                <w:kern w:val="0"/>
                <w:sz w:val="24"/>
                <w:szCs w:val="24"/>
              </w:rPr>
              <w:t>3</w:t>
            </w:r>
          </w:p>
        </w:tc>
        <w:tc>
          <w:tcPr>
            <w:tcW w:w="1418" w:type="dxa"/>
            <w:vAlign w:val="center"/>
          </w:tcPr>
          <w:p>
            <w:pPr>
              <w:widowControl w:val="0"/>
              <w:spacing w:line="240" w:lineRule="auto"/>
              <w:jc w:val="both"/>
              <w:rPr>
                <w:rFonts w:ascii="仿宋_GB2312" w:hAnsi="仿宋_GB2312" w:eastAsia="仿宋_GB2312" w:cs="仿宋_GB2312"/>
                <w:b w:val="0"/>
                <w:bCs w:val="0"/>
                <w:kern w:val="2"/>
                <w:sz w:val="24"/>
                <w:szCs w:val="24"/>
              </w:rPr>
            </w:pPr>
            <w:r>
              <w:rPr>
                <w:rFonts w:hint="eastAsia" w:ascii="仿宋_GB2312" w:hAnsi="仿宋_GB2312" w:eastAsia="仿宋_GB2312" w:cs="仿宋_GB2312"/>
                <w:sz w:val="24"/>
                <w:szCs w:val="24"/>
                <w:lang w:eastAsia="zh-Hans"/>
              </w:rPr>
              <w:t>对国家政务服务平台统一身份认证相关标准规范的理解和分析</w:t>
            </w:r>
          </w:p>
        </w:tc>
        <w:tc>
          <w:tcPr>
            <w:tcW w:w="708" w:type="dxa"/>
            <w:vAlign w:val="center"/>
          </w:tcPr>
          <w:p>
            <w:pPr>
              <w:widowControl/>
              <w:spacing w:line="360" w:lineRule="auto"/>
              <w:jc w:val="center"/>
              <w:rPr>
                <w:rFonts w:ascii="Times New Roman" w:hAnsi="Times New Roman" w:eastAsia="仿宋_GB2312"/>
                <w:b/>
                <w:bCs/>
                <w:kern w:val="0"/>
                <w:sz w:val="24"/>
                <w:szCs w:val="24"/>
              </w:rPr>
            </w:pPr>
            <w:r>
              <w:rPr>
                <w:rFonts w:ascii="仿宋_GB2312" w:hAnsi="仿宋_GB2312" w:eastAsia="仿宋_GB2312" w:cs="仿宋_GB2312"/>
                <w:b/>
                <w:bCs/>
                <w:kern w:val="0"/>
                <w:sz w:val="24"/>
                <w:szCs w:val="24"/>
              </w:rPr>
              <w:t>10</w:t>
            </w:r>
          </w:p>
        </w:tc>
        <w:tc>
          <w:tcPr>
            <w:tcW w:w="5699" w:type="dxa"/>
            <w:vAlign w:val="center"/>
          </w:tcPr>
          <w:p>
            <w:pPr>
              <w:widowControl/>
              <w:spacing w:line="360" w:lineRule="auto"/>
              <w:jc w:val="left"/>
              <w:rPr>
                <w:rFonts w:ascii="Times New Roman" w:hAnsi="Times New Roman" w:eastAsia="仿宋_GB2312"/>
                <w:b/>
                <w:bCs/>
                <w:kern w:val="0"/>
                <w:sz w:val="24"/>
                <w:szCs w:val="24"/>
              </w:rPr>
            </w:pPr>
            <w:r>
              <w:rPr>
                <w:rFonts w:hint="eastAsia" w:ascii="仿宋_GB2312" w:hAnsi="仿宋_GB2312" w:eastAsia="仿宋_GB2312" w:cs="仿宋_GB2312"/>
                <w:sz w:val="24"/>
                <w:szCs w:val="24"/>
                <w:lang w:eastAsia="zh-Hans"/>
              </w:rPr>
              <w:t>对投标人提出的国家政务服务平台统一身份认证相关标准规范的理解分析，从准确性、合理性等方面打分，投标人提出的分析准确合理，完全满足或优于采购需求，得</w:t>
            </w:r>
            <w:r>
              <w:rPr>
                <w:rFonts w:ascii="仿宋_GB2312" w:hAnsi="仿宋_GB2312" w:eastAsia="仿宋_GB2312" w:cs="仿宋_GB2312"/>
                <w:sz w:val="24"/>
                <w:szCs w:val="24"/>
                <w:lang w:eastAsia="zh-Hans"/>
              </w:rPr>
              <w:t>10分；投标人提出的分析比较准确合理，基本满足采购需求，得6分；投保人提出的分析不太准确合理，不能满足采购需求，得3分，未提供相关材料得0分。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1" w:type="dxa"/>
            <w:vAlign w:val="center"/>
          </w:tcPr>
          <w:p>
            <w:pPr>
              <w:widowControl/>
              <w:spacing w:line="360" w:lineRule="auto"/>
              <w:jc w:val="center"/>
              <w:rPr>
                <w:rFonts w:ascii="Times New Roman" w:hAnsi="Times New Roman" w:eastAsia="仿宋_GB2312"/>
                <w:b/>
                <w:bCs/>
                <w:kern w:val="0"/>
                <w:sz w:val="24"/>
                <w:szCs w:val="24"/>
              </w:rPr>
            </w:pPr>
            <w:r>
              <w:rPr>
                <w:rFonts w:ascii="仿宋_GB2312" w:hAnsi="仿宋_GB2312" w:eastAsia="仿宋_GB2312" w:cs="仿宋_GB2312"/>
                <w:b/>
                <w:bCs/>
                <w:kern w:val="0"/>
                <w:sz w:val="24"/>
                <w:szCs w:val="24"/>
              </w:rPr>
              <w:t>4</w:t>
            </w:r>
          </w:p>
        </w:tc>
        <w:tc>
          <w:tcPr>
            <w:tcW w:w="1418" w:type="dxa"/>
            <w:vAlign w:val="center"/>
          </w:tcPr>
          <w:p>
            <w:pPr>
              <w:widowControl/>
              <w:spacing w:line="360" w:lineRule="auto"/>
              <w:jc w:val="center"/>
              <w:rPr>
                <w:rFonts w:ascii="Times New Roman" w:hAnsi="Times New Roman" w:eastAsia="仿宋_GB2312"/>
                <w:b/>
                <w:bCs/>
                <w:kern w:val="0"/>
                <w:sz w:val="24"/>
                <w:szCs w:val="24"/>
              </w:rPr>
            </w:pPr>
            <w:r>
              <w:rPr>
                <w:rFonts w:hint="eastAsia" w:ascii="仿宋_GB2312" w:hAnsi="仿宋_GB2312" w:eastAsia="仿宋_GB2312" w:cs="仿宋_GB2312"/>
                <w:sz w:val="24"/>
                <w:szCs w:val="24"/>
                <w:lang w:eastAsia="zh-Hans"/>
              </w:rPr>
              <w:t>对广东省</w:t>
            </w:r>
            <w:r>
              <w:rPr>
                <w:rFonts w:hint="eastAsia" w:ascii="仿宋_GB2312" w:hAnsi="仿宋_GB2312" w:eastAsia="仿宋_GB2312" w:cs="仿宋_GB2312"/>
                <w:sz w:val="24"/>
                <w:szCs w:val="24"/>
              </w:rPr>
              <w:t>省统一身份认证</w:t>
            </w:r>
            <w:r>
              <w:rPr>
                <w:rFonts w:hint="eastAsia" w:ascii="仿宋_GB2312" w:hAnsi="仿宋_GB2312" w:eastAsia="仿宋_GB2312" w:cs="仿宋_GB2312"/>
                <w:sz w:val="24"/>
                <w:szCs w:val="24"/>
                <w:lang w:eastAsia="zh-Hans"/>
              </w:rPr>
              <w:t>平台</w:t>
            </w:r>
            <w:r>
              <w:rPr>
                <w:rFonts w:hint="eastAsia" w:ascii="仿宋_GB2312" w:hAnsi="仿宋_GB2312" w:eastAsia="仿宋_GB2312" w:cs="仿宋_GB2312"/>
                <w:sz w:val="24"/>
                <w:szCs w:val="24"/>
              </w:rPr>
              <w:t>规划</w:t>
            </w:r>
            <w:r>
              <w:rPr>
                <w:rFonts w:hint="eastAsia" w:ascii="仿宋_GB2312" w:hAnsi="仿宋_GB2312" w:eastAsia="仿宋_GB2312" w:cs="仿宋_GB2312"/>
                <w:sz w:val="24"/>
                <w:szCs w:val="24"/>
                <w:lang w:eastAsia="zh-Hans"/>
              </w:rPr>
              <w:t>以及统一身份认证推广工作的理解</w:t>
            </w:r>
          </w:p>
        </w:tc>
        <w:tc>
          <w:tcPr>
            <w:tcW w:w="708" w:type="dxa"/>
            <w:vAlign w:val="center"/>
          </w:tcPr>
          <w:p>
            <w:pPr>
              <w:widowControl/>
              <w:spacing w:line="360" w:lineRule="auto"/>
              <w:jc w:val="center"/>
              <w:rPr>
                <w:rFonts w:ascii="Times New Roman" w:hAnsi="Times New Roman" w:eastAsia="仿宋_GB2312"/>
                <w:b/>
                <w:bCs/>
                <w:kern w:val="0"/>
                <w:sz w:val="24"/>
                <w:szCs w:val="24"/>
              </w:rPr>
            </w:pPr>
            <w:r>
              <w:rPr>
                <w:rFonts w:ascii="仿宋_GB2312" w:hAnsi="仿宋_GB2312" w:eastAsia="仿宋_GB2312" w:cs="仿宋_GB2312"/>
                <w:b/>
                <w:bCs/>
                <w:kern w:val="0"/>
                <w:sz w:val="24"/>
                <w:szCs w:val="24"/>
              </w:rPr>
              <w:t>10</w:t>
            </w:r>
          </w:p>
        </w:tc>
        <w:tc>
          <w:tcPr>
            <w:tcW w:w="5699" w:type="dxa"/>
            <w:vAlign w:val="center"/>
          </w:tcPr>
          <w:p>
            <w:pPr>
              <w:widowControl/>
              <w:spacing w:line="360" w:lineRule="auto"/>
              <w:jc w:val="left"/>
              <w:rPr>
                <w:rFonts w:ascii="Times New Roman" w:hAnsi="Times New Roman" w:eastAsia="仿宋_GB2312"/>
                <w:b/>
                <w:bCs/>
                <w:kern w:val="0"/>
                <w:sz w:val="24"/>
                <w:szCs w:val="24"/>
              </w:rPr>
            </w:pPr>
            <w:r>
              <w:rPr>
                <w:rFonts w:hint="eastAsia" w:ascii="仿宋_GB2312" w:hAnsi="仿宋_GB2312" w:eastAsia="仿宋_GB2312" w:cs="仿宋_GB2312"/>
                <w:sz w:val="24"/>
                <w:szCs w:val="24"/>
                <w:lang w:eastAsia="zh-Hans"/>
              </w:rPr>
              <w:t>对投标人提出的广东统一身份认证平台规划和推广工作理解分析，从准确性、合理性等方面打分，投标人提出的分析准确合理，完全满足或优于采购需求，得</w:t>
            </w:r>
            <w:r>
              <w:rPr>
                <w:rFonts w:ascii="仿宋_GB2312" w:hAnsi="仿宋_GB2312" w:eastAsia="仿宋_GB2312" w:cs="仿宋_GB2312"/>
                <w:sz w:val="24"/>
                <w:szCs w:val="24"/>
                <w:lang w:eastAsia="zh-Hans"/>
              </w:rPr>
              <w:t>10分；投标人提出的分析比较准确合理，基本满足采购需求，得6分；投保人提出的分析不太</w:t>
            </w:r>
            <w:r>
              <w:rPr>
                <w:rFonts w:hint="eastAsia" w:ascii="仿宋_GB2312" w:hAnsi="仿宋_GB2312" w:eastAsia="仿宋_GB2312" w:cs="仿宋_GB2312"/>
                <w:sz w:val="24"/>
                <w:szCs w:val="24"/>
                <w:lang w:eastAsia="zh-Hans"/>
              </w:rPr>
              <w:t>准确合理，不能满足采购需求，得</w:t>
            </w:r>
            <w:r>
              <w:rPr>
                <w:rFonts w:ascii="仿宋_GB2312" w:hAnsi="仿宋_GB2312" w:eastAsia="仿宋_GB2312" w:cs="仿宋_GB2312"/>
                <w:sz w:val="24"/>
                <w:szCs w:val="24"/>
                <w:lang w:eastAsia="zh-Hans"/>
              </w:rPr>
              <w:t>3分，未提供相关材料得0分。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1" w:type="dxa"/>
            <w:vAlign w:val="center"/>
          </w:tcPr>
          <w:p>
            <w:pPr>
              <w:widowControl/>
              <w:spacing w:line="360" w:lineRule="auto"/>
              <w:jc w:val="center"/>
              <w:rPr>
                <w:rFonts w:ascii="Times New Roman" w:hAnsi="Times New Roman" w:eastAsia="仿宋_GB2312"/>
                <w:b/>
                <w:bCs/>
                <w:kern w:val="0"/>
                <w:sz w:val="24"/>
                <w:szCs w:val="24"/>
              </w:rPr>
            </w:pPr>
            <w:r>
              <w:rPr>
                <w:rFonts w:ascii="仿宋_GB2312" w:hAnsi="仿宋_GB2312" w:eastAsia="仿宋_GB2312" w:cs="仿宋_GB2312"/>
                <w:b/>
                <w:bCs/>
                <w:kern w:val="0"/>
                <w:sz w:val="24"/>
                <w:szCs w:val="24"/>
              </w:rPr>
              <w:t>5</w:t>
            </w:r>
          </w:p>
        </w:tc>
        <w:tc>
          <w:tcPr>
            <w:tcW w:w="1418" w:type="dxa"/>
            <w:vAlign w:val="center"/>
          </w:tcPr>
          <w:p>
            <w:pPr>
              <w:widowControl/>
              <w:spacing w:line="360" w:lineRule="auto"/>
              <w:jc w:val="center"/>
              <w:rPr>
                <w:rFonts w:ascii="Times New Roman" w:hAnsi="Times New Roman" w:eastAsia="仿宋_GB2312"/>
                <w:b/>
                <w:bCs/>
                <w:kern w:val="0"/>
                <w:sz w:val="24"/>
                <w:szCs w:val="24"/>
              </w:rPr>
            </w:pPr>
            <w:r>
              <w:rPr>
                <w:rFonts w:hint="eastAsia" w:ascii="仿宋_GB2312" w:hAnsi="仿宋_GB2312" w:eastAsia="仿宋_GB2312" w:cs="仿宋_GB2312"/>
                <w:sz w:val="24"/>
                <w:szCs w:val="24"/>
                <w:lang w:eastAsia="zh-Hans"/>
              </w:rPr>
              <w:t>对项目服务的质量保证措施</w:t>
            </w:r>
          </w:p>
        </w:tc>
        <w:tc>
          <w:tcPr>
            <w:tcW w:w="708" w:type="dxa"/>
            <w:vAlign w:val="center"/>
          </w:tcPr>
          <w:p>
            <w:pPr>
              <w:widowControl/>
              <w:spacing w:line="360" w:lineRule="auto"/>
              <w:jc w:val="center"/>
              <w:rPr>
                <w:rFonts w:ascii="Times New Roman" w:hAnsi="Times New Roman" w:eastAsia="仿宋_GB2312"/>
                <w:b/>
                <w:bCs/>
                <w:kern w:val="0"/>
                <w:sz w:val="24"/>
                <w:szCs w:val="24"/>
              </w:rPr>
            </w:pPr>
            <w:r>
              <w:rPr>
                <w:rFonts w:ascii="仿宋_GB2312" w:hAnsi="仿宋_GB2312" w:eastAsia="仿宋_GB2312" w:cs="仿宋_GB2312"/>
                <w:b/>
                <w:bCs/>
                <w:kern w:val="0"/>
                <w:sz w:val="24"/>
                <w:szCs w:val="24"/>
              </w:rPr>
              <w:t>10</w:t>
            </w:r>
          </w:p>
        </w:tc>
        <w:tc>
          <w:tcPr>
            <w:tcW w:w="5699" w:type="dxa"/>
            <w:vAlign w:val="center"/>
          </w:tcPr>
          <w:p>
            <w:pPr>
              <w:widowControl/>
              <w:spacing w:line="360" w:lineRule="auto"/>
              <w:jc w:val="left"/>
              <w:rPr>
                <w:rFonts w:ascii="Times New Roman" w:hAnsi="Times New Roman" w:eastAsia="仿宋_GB2312"/>
                <w:b/>
                <w:bCs/>
                <w:kern w:val="0"/>
                <w:sz w:val="24"/>
                <w:szCs w:val="24"/>
              </w:rPr>
            </w:pPr>
            <w:r>
              <w:rPr>
                <w:rFonts w:hint="eastAsia" w:ascii="仿宋_GB2312" w:hAnsi="仿宋_GB2312" w:eastAsia="仿宋_GB2312" w:cs="仿宋_GB2312"/>
                <w:sz w:val="24"/>
                <w:szCs w:val="24"/>
                <w:lang w:eastAsia="zh-Hans"/>
              </w:rPr>
              <w:t>对投标人提出的项目服务的质量保证措施，从质量保证措施的合理性等方面打分，投标人提出的分析准确合理，完全满足或优于采购需求，得</w:t>
            </w:r>
            <w:r>
              <w:rPr>
                <w:rFonts w:ascii="仿宋_GB2312" w:hAnsi="仿宋_GB2312" w:eastAsia="仿宋_GB2312" w:cs="仿宋_GB2312"/>
                <w:sz w:val="24"/>
                <w:szCs w:val="24"/>
                <w:lang w:eastAsia="zh-Hans"/>
              </w:rPr>
              <w:t>10分；投标人提出的分析比较准确合理，基本满足采购需求，得6分；投保人提出的分析不太准确合理，不能满足采购需求，得3分，未提供相关材料得0分。</w:t>
            </w:r>
          </w:p>
        </w:tc>
      </w:tr>
    </w:tbl>
    <w:p>
      <w:pPr>
        <w:rPr>
          <w:rFonts w:ascii="Times New Roman" w:hAnsi="Times New Roman" w:eastAsia="黑体"/>
          <w:sz w:val="30"/>
          <w:szCs w:val="30"/>
        </w:rPr>
      </w:pPr>
    </w:p>
    <w:p>
      <w:pPr>
        <w:pStyle w:val="15"/>
        <w:rPr>
          <w:rFonts w:ascii="Times New Roman" w:hAnsi="Times New Roman"/>
        </w:rPr>
      </w:pPr>
      <w:r>
        <w:rPr>
          <w:rFonts w:hint="eastAsia" w:ascii="Times New Roman" w:hAnsi="Times New Roman"/>
        </w:rPr>
        <w:t>价格</w:t>
      </w:r>
      <w:r>
        <w:rPr>
          <w:rFonts w:hint="eastAsia" w:ascii="Times New Roman" w:hAnsi="Times New Roman"/>
          <w:lang w:val="en-US" w:eastAsia="zh-CN"/>
        </w:rPr>
        <w:t>评分</w:t>
      </w:r>
      <w:r>
        <w:rPr>
          <w:rFonts w:ascii="Times New Roman" w:hAnsi="Times New Roman"/>
        </w:rPr>
        <w:t>法</w:t>
      </w:r>
      <w:r>
        <w:rPr>
          <w:rFonts w:hint="eastAsia" w:ascii="Times New Roman" w:hAnsi="Times New Roman"/>
        </w:rPr>
        <w:t>（10分）</w:t>
      </w:r>
    </w:p>
    <w:tbl>
      <w:tblPr>
        <w:tblStyle w:val="9"/>
        <w:tblW w:w="8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0"/>
        <w:gridCol w:w="5969"/>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640" w:type="dxa"/>
          </w:tcPr>
          <w:p>
            <w:pPr>
              <w:spacing w:line="360" w:lineRule="auto"/>
              <w:jc w:val="center"/>
              <w:rPr>
                <w:rFonts w:ascii="Times New Roman" w:hAnsi="Times New Roman" w:eastAsia="仿宋_GB2312"/>
                <w:b/>
                <w:kern w:val="0"/>
                <w:sz w:val="24"/>
                <w:szCs w:val="24"/>
              </w:rPr>
            </w:pPr>
            <w:r>
              <w:rPr>
                <w:rFonts w:ascii="Times New Roman" w:hAnsi="Times New Roman" w:eastAsia="仿宋_GB2312"/>
                <w:b/>
                <w:kern w:val="0"/>
                <w:sz w:val="24"/>
                <w:szCs w:val="24"/>
              </w:rPr>
              <w:t>评审项目</w:t>
            </w:r>
          </w:p>
        </w:tc>
        <w:tc>
          <w:tcPr>
            <w:tcW w:w="5969" w:type="dxa"/>
          </w:tcPr>
          <w:p>
            <w:pPr>
              <w:spacing w:line="360" w:lineRule="auto"/>
              <w:jc w:val="center"/>
              <w:rPr>
                <w:rFonts w:ascii="Times New Roman" w:hAnsi="Times New Roman" w:eastAsia="仿宋_GB2312"/>
                <w:b/>
                <w:kern w:val="0"/>
                <w:sz w:val="24"/>
                <w:szCs w:val="24"/>
              </w:rPr>
            </w:pPr>
            <w:r>
              <w:rPr>
                <w:rFonts w:ascii="Times New Roman" w:hAnsi="Times New Roman" w:eastAsia="仿宋_GB2312"/>
                <w:b/>
                <w:kern w:val="0"/>
                <w:sz w:val="24"/>
                <w:szCs w:val="24"/>
              </w:rPr>
              <w:t>评分标准</w:t>
            </w:r>
          </w:p>
        </w:tc>
        <w:tc>
          <w:tcPr>
            <w:tcW w:w="1240" w:type="dxa"/>
          </w:tcPr>
          <w:p>
            <w:pPr>
              <w:spacing w:line="360" w:lineRule="auto"/>
              <w:jc w:val="center"/>
              <w:rPr>
                <w:rFonts w:ascii="Times New Roman" w:hAnsi="Times New Roman" w:eastAsia="仿宋_GB2312"/>
                <w:b/>
                <w:kern w:val="0"/>
                <w:sz w:val="24"/>
                <w:szCs w:val="24"/>
              </w:rPr>
            </w:pPr>
            <w:r>
              <w:rPr>
                <w:rFonts w:ascii="Times New Roman" w:hAnsi="Times New Roman" w:eastAsia="仿宋_GB2312"/>
                <w:b/>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0" w:type="dxa"/>
            <w:vAlign w:val="center"/>
          </w:tcPr>
          <w:p>
            <w:pPr>
              <w:spacing w:line="360" w:lineRule="auto"/>
              <w:jc w:val="center"/>
              <w:textAlignment w:val="baseline"/>
              <w:rPr>
                <w:rFonts w:ascii="Times New Roman" w:hAnsi="Times New Roman" w:eastAsia="仿宋_GB2312"/>
                <w:kern w:val="0"/>
                <w:sz w:val="24"/>
                <w:szCs w:val="24"/>
              </w:rPr>
            </w:pPr>
            <w:r>
              <w:rPr>
                <w:rFonts w:hint="eastAsia" w:ascii="Times New Roman" w:hAnsi="Times New Roman" w:eastAsia="仿宋_GB2312"/>
                <w:kern w:val="0"/>
                <w:sz w:val="24"/>
                <w:szCs w:val="24"/>
              </w:rPr>
              <w:t>价格部分</w:t>
            </w:r>
          </w:p>
        </w:tc>
        <w:tc>
          <w:tcPr>
            <w:tcW w:w="5969" w:type="dxa"/>
          </w:tcPr>
          <w:p>
            <w:pPr>
              <w:spacing w:line="360" w:lineRule="auto"/>
              <w:textAlignment w:val="baseline"/>
              <w:rPr>
                <w:rFonts w:ascii="Times New Roman" w:hAnsi="Times New Roman" w:eastAsia="仿宋_GB2312"/>
                <w:kern w:val="0"/>
                <w:sz w:val="24"/>
                <w:szCs w:val="24"/>
              </w:rPr>
            </w:pPr>
            <w:r>
              <w:rPr>
                <w:rFonts w:ascii="Times New Roman" w:hAnsi="Times New Roman" w:eastAsia="仿宋_GB2312"/>
                <w:kern w:val="0"/>
                <w:sz w:val="24"/>
                <w:szCs w:val="24"/>
              </w:rPr>
              <w:t>计算价格评分：各有效投标供应商的评标价中，取得最低者作为基准价，各有效投标供应商的价格评分统一按照下列公式计算：</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价格评分=（基准价／评标价）×10</w:t>
            </w:r>
          </w:p>
        </w:tc>
        <w:tc>
          <w:tcPr>
            <w:tcW w:w="1240" w:type="dxa"/>
            <w:vAlign w:val="center"/>
          </w:tcPr>
          <w:p>
            <w:pPr>
              <w:spacing w:line="360" w:lineRule="auto"/>
              <w:jc w:val="center"/>
              <w:textAlignment w:val="baseline"/>
              <w:rPr>
                <w:rFonts w:ascii="Times New Roman" w:hAnsi="Times New Roman" w:eastAsia="仿宋_GB2312"/>
                <w:kern w:val="0"/>
                <w:sz w:val="24"/>
                <w:szCs w:val="24"/>
              </w:rPr>
            </w:pPr>
            <w:r>
              <w:rPr>
                <w:rFonts w:ascii="Times New Roman" w:hAnsi="Times New Roman" w:eastAsia="仿宋_GB2312"/>
                <w:kern w:val="0"/>
                <w:sz w:val="24"/>
                <w:szCs w:val="24"/>
              </w:rPr>
              <w:t>10</w:t>
            </w:r>
          </w:p>
        </w:tc>
      </w:tr>
    </w:tbl>
    <w:p>
      <w:pPr>
        <w:ind w:firstLine="560" w:firstLineChars="200"/>
        <w:rPr>
          <w:rFonts w:ascii="Times New Roman" w:hAnsi="Times New Roman" w:eastAsia="仿宋_GB2312"/>
          <w:sz w:val="28"/>
          <w:szCs w:val="28"/>
        </w:rPr>
      </w:pPr>
    </w:p>
    <w:p>
      <w:pPr>
        <w:ind w:firstLine="560" w:firstLineChars="200"/>
        <w:jc w:val="left"/>
        <w:rPr>
          <w:rFonts w:ascii="Times New Roman" w:hAnsi="Times New Roman" w:eastAsia="楷体_GB2312"/>
          <w:i/>
          <w:color w:val="7F7F7F"/>
          <w:sz w:val="28"/>
          <w:szCs w:val="28"/>
        </w:rPr>
      </w:pPr>
    </w:p>
    <w:p>
      <w:pPr>
        <w:wordWrap w:val="0"/>
        <w:ind w:firstLine="560" w:firstLineChars="200"/>
        <w:jc w:val="right"/>
        <w:rPr>
          <w:rFonts w:ascii="Times New Roman" w:hAnsi="Times New Roman" w:eastAsia="楷体_GB2312"/>
          <w:color w:val="000000"/>
          <w:sz w:val="28"/>
          <w:szCs w:val="28"/>
        </w:rPr>
      </w:pPr>
    </w:p>
    <w:p>
      <w:pPr>
        <w:wordWrap w:val="0"/>
        <w:ind w:firstLine="560" w:firstLineChars="200"/>
        <w:jc w:val="right"/>
        <w:rPr>
          <w:rFonts w:ascii="Times New Roman" w:hAnsi="Times New Roman" w:eastAsia="楷体_GB2312"/>
          <w:color w:val="000000"/>
          <w:sz w:val="28"/>
          <w:szCs w:val="28"/>
        </w:rPr>
      </w:pPr>
    </w:p>
    <w:p>
      <w:pPr>
        <w:wordWrap w:val="0"/>
        <w:ind w:firstLine="560" w:firstLineChars="200"/>
        <w:jc w:val="right"/>
        <w:rPr>
          <w:rFonts w:ascii="Times New Roman" w:hAnsi="Times New Roman" w:eastAsia="楷体_GB2312"/>
          <w:color w:val="000000"/>
          <w:sz w:val="28"/>
          <w:szCs w:val="28"/>
        </w:rPr>
      </w:pPr>
    </w:p>
    <w:p>
      <w:pPr>
        <w:wordWrap w:val="0"/>
        <w:ind w:firstLine="560" w:firstLineChars="200"/>
        <w:jc w:val="right"/>
        <w:rPr>
          <w:rFonts w:ascii="Times New Roman" w:hAnsi="Times New Roman" w:eastAsia="楷体_GB2312"/>
          <w:color w:val="000000"/>
          <w:sz w:val="28"/>
          <w:szCs w:val="28"/>
        </w:rPr>
      </w:pPr>
    </w:p>
    <w:p>
      <w:pPr>
        <w:wordWrap w:val="0"/>
        <w:ind w:firstLine="560" w:firstLineChars="200"/>
        <w:jc w:val="right"/>
        <w:rPr>
          <w:rFonts w:ascii="Times New Roman" w:hAnsi="Times New Roman" w:eastAsia="楷体_GB2312"/>
          <w:color w:val="000000"/>
          <w:sz w:val="28"/>
          <w:szCs w:val="28"/>
        </w:rPr>
      </w:pPr>
    </w:p>
    <w:p>
      <w:pPr>
        <w:wordWrap w:val="0"/>
        <w:ind w:firstLine="560" w:firstLineChars="200"/>
        <w:jc w:val="right"/>
        <w:rPr>
          <w:rFonts w:ascii="Times New Roman" w:hAnsi="Times New Roman" w:eastAsia="楷体_GB2312"/>
          <w:color w:val="000000"/>
          <w:sz w:val="28"/>
          <w:szCs w:val="28"/>
        </w:rPr>
      </w:pPr>
    </w:p>
    <w:p>
      <w:pPr>
        <w:wordWrap w:val="0"/>
        <w:ind w:firstLine="560" w:firstLineChars="200"/>
        <w:jc w:val="right"/>
        <w:rPr>
          <w:rFonts w:ascii="Times New Roman" w:hAnsi="Times New Roman" w:eastAsia="楷体_GB2312"/>
          <w:color w:val="000000"/>
          <w:sz w:val="28"/>
          <w:szCs w:val="28"/>
        </w:rPr>
      </w:pPr>
    </w:p>
    <w:p>
      <w:pPr>
        <w:wordWrap w:val="0"/>
        <w:ind w:firstLine="560" w:firstLineChars="200"/>
        <w:jc w:val="right"/>
        <w:rPr>
          <w:rFonts w:ascii="Times New Roman" w:hAnsi="Times New Roman" w:eastAsia="楷体_GB2312"/>
          <w:color w:val="000000"/>
          <w:sz w:val="28"/>
          <w:szCs w:val="28"/>
        </w:rPr>
      </w:pPr>
    </w:p>
    <w:p>
      <w:pPr>
        <w:wordWrap w:val="0"/>
        <w:ind w:firstLine="560" w:firstLineChars="200"/>
        <w:jc w:val="right"/>
        <w:rPr>
          <w:rFonts w:ascii="Times New Roman" w:hAnsi="Times New Roman" w:eastAsia="楷体_GB2312"/>
          <w:color w:val="000000"/>
          <w:sz w:val="28"/>
          <w:szCs w:val="28"/>
        </w:rPr>
      </w:pPr>
    </w:p>
    <w:p>
      <w:pPr>
        <w:wordWrap w:val="0"/>
        <w:ind w:firstLine="560" w:firstLineChars="200"/>
        <w:jc w:val="right"/>
        <w:rPr>
          <w:rFonts w:ascii="Times New Roman" w:hAnsi="Times New Roman" w:eastAsia="楷体_GB2312"/>
          <w:color w:val="000000"/>
          <w:sz w:val="28"/>
          <w:szCs w:val="28"/>
        </w:rPr>
      </w:pPr>
    </w:p>
    <w:p>
      <w:pPr>
        <w:autoSpaceDE w:val="0"/>
        <w:autoSpaceDN w:val="0"/>
        <w:adjustRightInd w:val="0"/>
        <w:snapToGrid w:val="0"/>
        <w:spacing w:line="360" w:lineRule="auto"/>
        <w:ind w:left="420" w:right="34" w:hanging="420"/>
        <w:jc w:val="center"/>
        <w:rPr>
          <w:rFonts w:hint="eastAsia" w:ascii="方正小标宋简体" w:hAnsi="方正小标宋简体" w:eastAsia="方正小标宋简体" w:cs="方正小标宋简体"/>
          <w:b/>
          <w:kern w:val="0"/>
          <w:sz w:val="28"/>
          <w:szCs w:val="28"/>
        </w:rPr>
      </w:pPr>
      <w:r>
        <w:rPr>
          <w:rFonts w:hint="eastAsia" w:ascii="方正小标宋简体" w:hAnsi="方正小标宋简体" w:eastAsia="方正小标宋简体" w:cs="方正小标宋简体"/>
          <w:b/>
          <w:kern w:val="0"/>
          <w:sz w:val="28"/>
          <w:szCs w:val="28"/>
        </w:rPr>
        <w:t>第</w:t>
      </w:r>
      <w:r>
        <w:rPr>
          <w:rFonts w:hint="eastAsia" w:ascii="方正小标宋简体" w:hAnsi="方正小标宋简体" w:eastAsia="方正小标宋简体" w:cs="方正小标宋简体"/>
          <w:b/>
          <w:kern w:val="0"/>
          <w:sz w:val="28"/>
          <w:szCs w:val="28"/>
          <w:lang w:val="en-US" w:eastAsia="zh-CN"/>
        </w:rPr>
        <w:t>三</w:t>
      </w:r>
      <w:r>
        <w:rPr>
          <w:rFonts w:hint="eastAsia" w:ascii="方正小标宋简体" w:hAnsi="方正小标宋简体" w:eastAsia="方正小标宋简体" w:cs="方正小标宋简体"/>
          <w:b/>
          <w:kern w:val="0"/>
          <w:sz w:val="28"/>
          <w:szCs w:val="28"/>
        </w:rPr>
        <w:t>部分　合同书文本</w:t>
      </w:r>
    </w:p>
    <w:p>
      <w:pPr>
        <w:tabs>
          <w:tab w:val="left" w:pos="720"/>
        </w:tabs>
        <w:spacing w:line="360" w:lineRule="auto"/>
        <w:rPr>
          <w:rFonts w:hint="eastAsia" w:ascii="宋体" w:hAnsi="宋体"/>
          <w:b/>
          <w:szCs w:val="21"/>
        </w:rPr>
      </w:pPr>
    </w:p>
    <w:p>
      <w:pPr>
        <w:ind w:right="960"/>
        <w:jc w:val="center"/>
        <w:rPr>
          <w:sz w:val="24"/>
          <w:szCs w:val="20"/>
        </w:rPr>
      </w:pPr>
      <w:bookmarkStart w:id="4" w:name="_Hlk12887856"/>
      <w:r>
        <w:rPr>
          <w:sz w:val="24"/>
          <w:szCs w:val="20"/>
        </w:rPr>
        <w:t xml:space="preserve">                                                  合同编号：        </w:t>
      </w:r>
    </w:p>
    <w:bookmarkEnd w:id="4"/>
    <w:p>
      <w:pPr>
        <w:rPr>
          <w:rFonts w:ascii="宋体" w:hAnsi="宋体"/>
          <w:sz w:val="24"/>
          <w:szCs w:val="20"/>
        </w:rPr>
      </w:pPr>
    </w:p>
    <w:p>
      <w:pPr>
        <w:spacing w:line="360" w:lineRule="auto"/>
        <w:rPr>
          <w:rFonts w:ascii="宋体" w:hAnsi="宋体"/>
          <w:szCs w:val="21"/>
        </w:rPr>
      </w:pPr>
    </w:p>
    <w:p>
      <w:pPr>
        <w:spacing w:line="360" w:lineRule="auto"/>
        <w:rPr>
          <w:rFonts w:ascii="宋体" w:hAnsi="宋体"/>
          <w:szCs w:val="21"/>
        </w:rPr>
      </w:pPr>
    </w:p>
    <w:p>
      <w:pPr>
        <w:tabs>
          <w:tab w:val="left" w:pos="720"/>
        </w:tabs>
        <w:spacing w:line="360" w:lineRule="auto"/>
        <w:jc w:val="center"/>
        <w:rPr>
          <w:rFonts w:ascii="宋体" w:hAnsi="宋体"/>
          <w:b/>
          <w:sz w:val="56"/>
          <w:szCs w:val="56"/>
        </w:rPr>
      </w:pPr>
      <w:r>
        <w:rPr>
          <w:rFonts w:hint="eastAsia" w:ascii="宋体" w:hAnsi="宋体"/>
          <w:b/>
          <w:sz w:val="56"/>
          <w:szCs w:val="56"/>
        </w:rPr>
        <w:t>省级政务信息化项目</w:t>
      </w:r>
    </w:p>
    <w:p>
      <w:pPr>
        <w:tabs>
          <w:tab w:val="left" w:pos="720"/>
        </w:tabs>
        <w:spacing w:line="360" w:lineRule="auto"/>
        <w:jc w:val="center"/>
        <w:rPr>
          <w:rFonts w:ascii="宋体" w:hAnsi="宋体" w:cs="宋体"/>
          <w:b/>
          <w:sz w:val="36"/>
          <w:szCs w:val="36"/>
        </w:rPr>
      </w:pPr>
      <w:r>
        <w:rPr>
          <w:rFonts w:hint="eastAsia" w:ascii="宋体" w:hAnsi="宋体"/>
          <w:b/>
          <w:sz w:val="56"/>
          <w:szCs w:val="56"/>
          <w:lang w:val="en-US" w:eastAsia="zh-CN"/>
        </w:rPr>
        <w:t>咨询服务</w:t>
      </w:r>
      <w:r>
        <w:rPr>
          <w:rFonts w:hint="eastAsia" w:ascii="宋体" w:hAnsi="宋体"/>
          <w:b/>
          <w:sz w:val="56"/>
          <w:szCs w:val="56"/>
        </w:rPr>
        <w:t>合同书</w:t>
      </w:r>
    </w:p>
    <w:p>
      <w:pPr>
        <w:tabs>
          <w:tab w:val="left" w:pos="720"/>
        </w:tabs>
        <w:spacing w:line="360" w:lineRule="auto"/>
        <w:rPr>
          <w:rFonts w:ascii="宋体" w:hAnsi="宋体" w:cs="宋体"/>
          <w:b/>
          <w:szCs w:val="21"/>
        </w:rPr>
      </w:pPr>
    </w:p>
    <w:tbl>
      <w:tblPr>
        <w:tblStyle w:val="9"/>
        <w:tblW w:w="7750" w:type="dxa"/>
        <w:jc w:val="center"/>
        <w:tblLayout w:type="fixed"/>
        <w:tblCellMar>
          <w:top w:w="0" w:type="dxa"/>
          <w:left w:w="108" w:type="dxa"/>
          <w:bottom w:w="0" w:type="dxa"/>
          <w:right w:w="108" w:type="dxa"/>
        </w:tblCellMar>
      </w:tblPr>
      <w:tblGrid>
        <w:gridCol w:w="2412"/>
        <w:gridCol w:w="324"/>
        <w:gridCol w:w="5014"/>
      </w:tblGrid>
      <w:tr>
        <w:tblPrEx>
          <w:tblCellMar>
            <w:top w:w="0" w:type="dxa"/>
            <w:left w:w="108" w:type="dxa"/>
            <w:bottom w:w="0" w:type="dxa"/>
            <w:right w:w="108" w:type="dxa"/>
          </w:tblCellMar>
        </w:tblPrEx>
        <w:trPr>
          <w:trHeight w:val="1295" w:hRule="exact"/>
          <w:jc w:val="center"/>
        </w:trPr>
        <w:tc>
          <w:tcPr>
            <w:tcW w:w="2412" w:type="dxa"/>
            <w:vAlign w:val="center"/>
          </w:tcPr>
          <w:p>
            <w:pPr>
              <w:tabs>
                <w:tab w:val="left" w:pos="720"/>
              </w:tabs>
              <w:adjustRightInd w:val="0"/>
              <w:snapToGrid w:val="0"/>
              <w:jc w:val="distribute"/>
              <w:rPr>
                <w:sz w:val="32"/>
                <w:szCs w:val="36"/>
              </w:rPr>
            </w:pPr>
            <w:bookmarkStart w:id="5" w:name="_Hlk530142948"/>
            <w:r>
              <w:rPr>
                <w:sz w:val="32"/>
                <w:szCs w:val="36"/>
              </w:rPr>
              <w:t xml:space="preserve">项目名称 </w:t>
            </w:r>
          </w:p>
        </w:tc>
        <w:tc>
          <w:tcPr>
            <w:tcW w:w="324" w:type="dxa"/>
            <w:vAlign w:val="center"/>
          </w:tcPr>
          <w:p>
            <w:pPr>
              <w:tabs>
                <w:tab w:val="left" w:pos="720"/>
              </w:tabs>
              <w:adjustRightInd w:val="0"/>
              <w:snapToGrid w:val="0"/>
              <w:rPr>
                <w:bCs/>
                <w:sz w:val="32"/>
                <w:szCs w:val="36"/>
              </w:rPr>
            </w:pPr>
            <w:r>
              <w:rPr>
                <w:bCs/>
                <w:sz w:val="32"/>
                <w:szCs w:val="36"/>
              </w:rPr>
              <w:t>：</w:t>
            </w:r>
          </w:p>
        </w:tc>
        <w:tc>
          <w:tcPr>
            <w:tcW w:w="5014" w:type="dxa"/>
            <w:vAlign w:val="center"/>
          </w:tcPr>
          <w:p>
            <w:pPr>
              <w:snapToGrid w:val="0"/>
              <w:rPr>
                <w:rFonts w:hint="eastAsia" w:eastAsia="宋体"/>
                <w:bCs w:val="0"/>
                <w:sz w:val="32"/>
                <w:szCs w:val="36"/>
                <w:u w:val="single"/>
                <w:lang w:eastAsia="zh-CN"/>
              </w:rPr>
            </w:pPr>
            <w:r>
              <w:rPr>
                <w:rFonts w:hint="eastAsia" w:ascii="Calibri" w:hAnsi="Calibri" w:eastAsia="宋体"/>
                <w:sz w:val="32"/>
                <w:szCs w:val="36"/>
                <w:u w:val="single"/>
              </w:rPr>
              <w:t>广东省统一身份认证</w:t>
            </w:r>
            <w:r>
              <w:rPr>
                <w:rFonts w:hint="eastAsia" w:ascii="Calibri" w:hAnsi="Calibri" w:eastAsia="宋体"/>
                <w:b w:val="0"/>
                <w:bCs w:val="0"/>
                <w:color w:val="333333"/>
                <w:kern w:val="2"/>
                <w:sz w:val="32"/>
                <w:szCs w:val="36"/>
                <w:u w:val="single"/>
              </w:rPr>
              <w:t>业务规划咨询</w:t>
            </w:r>
            <w:r>
              <w:rPr>
                <w:rFonts w:hint="eastAsia" w:ascii="Calibri" w:hAnsi="Calibri" w:eastAsia="宋体"/>
                <w:sz w:val="32"/>
                <w:szCs w:val="36"/>
                <w:u w:val="single"/>
              </w:rPr>
              <w:t>服务</w:t>
            </w:r>
          </w:p>
        </w:tc>
      </w:tr>
      <w:tr>
        <w:tblPrEx>
          <w:tblCellMar>
            <w:top w:w="0" w:type="dxa"/>
            <w:left w:w="108" w:type="dxa"/>
            <w:bottom w:w="0" w:type="dxa"/>
            <w:right w:w="108" w:type="dxa"/>
          </w:tblCellMar>
        </w:tblPrEx>
        <w:trPr>
          <w:trHeight w:val="680" w:hRule="exact"/>
          <w:jc w:val="center"/>
        </w:trPr>
        <w:tc>
          <w:tcPr>
            <w:tcW w:w="2412" w:type="dxa"/>
            <w:vAlign w:val="center"/>
          </w:tcPr>
          <w:p>
            <w:pPr>
              <w:snapToGrid w:val="0"/>
              <w:jc w:val="distribute"/>
              <w:rPr>
                <w:sz w:val="32"/>
                <w:szCs w:val="36"/>
              </w:rPr>
            </w:pPr>
            <w:r>
              <w:rPr>
                <w:sz w:val="32"/>
                <w:szCs w:val="36"/>
              </w:rPr>
              <w:t>委托方（甲方）</w:t>
            </w:r>
          </w:p>
        </w:tc>
        <w:tc>
          <w:tcPr>
            <w:tcW w:w="324" w:type="dxa"/>
            <w:vAlign w:val="center"/>
          </w:tcPr>
          <w:p>
            <w:pPr>
              <w:tabs>
                <w:tab w:val="left" w:pos="720"/>
              </w:tabs>
              <w:adjustRightInd w:val="0"/>
              <w:snapToGrid w:val="0"/>
              <w:ind w:left="1600" w:hanging="1600" w:hangingChars="500"/>
              <w:rPr>
                <w:bCs/>
                <w:sz w:val="32"/>
                <w:szCs w:val="36"/>
              </w:rPr>
            </w:pPr>
            <w:r>
              <w:rPr>
                <w:bCs/>
                <w:sz w:val="32"/>
                <w:szCs w:val="36"/>
              </w:rPr>
              <w:t>：</w:t>
            </w:r>
          </w:p>
        </w:tc>
        <w:tc>
          <w:tcPr>
            <w:tcW w:w="5014" w:type="dxa"/>
            <w:vAlign w:val="center"/>
          </w:tcPr>
          <w:p>
            <w:pPr>
              <w:snapToGrid w:val="0"/>
              <w:rPr>
                <w:sz w:val="32"/>
                <w:szCs w:val="36"/>
                <w:u w:val="single"/>
              </w:rPr>
            </w:pPr>
            <w:r>
              <w:rPr>
                <w:rFonts w:hint="eastAsia"/>
                <w:sz w:val="32"/>
                <w:szCs w:val="36"/>
                <w:u w:val="single"/>
              </w:rPr>
              <w:t>广东省政务服务数据管理局</w:t>
            </w:r>
          </w:p>
        </w:tc>
      </w:tr>
      <w:tr>
        <w:tblPrEx>
          <w:tblCellMar>
            <w:top w:w="0" w:type="dxa"/>
            <w:left w:w="108" w:type="dxa"/>
            <w:bottom w:w="0" w:type="dxa"/>
            <w:right w:w="108" w:type="dxa"/>
          </w:tblCellMar>
        </w:tblPrEx>
        <w:trPr>
          <w:trHeight w:val="680" w:hRule="exact"/>
          <w:jc w:val="center"/>
        </w:trPr>
        <w:tc>
          <w:tcPr>
            <w:tcW w:w="2412" w:type="dxa"/>
            <w:vAlign w:val="center"/>
          </w:tcPr>
          <w:p>
            <w:pPr>
              <w:snapToGrid w:val="0"/>
              <w:jc w:val="distribute"/>
              <w:rPr>
                <w:sz w:val="32"/>
                <w:szCs w:val="36"/>
              </w:rPr>
            </w:pPr>
            <w:r>
              <w:rPr>
                <w:sz w:val="32"/>
                <w:szCs w:val="36"/>
              </w:rPr>
              <w:t>受托方（乙方）</w:t>
            </w:r>
          </w:p>
        </w:tc>
        <w:tc>
          <w:tcPr>
            <w:tcW w:w="324" w:type="dxa"/>
            <w:vAlign w:val="center"/>
          </w:tcPr>
          <w:p>
            <w:pPr>
              <w:tabs>
                <w:tab w:val="left" w:pos="720"/>
              </w:tabs>
              <w:adjustRightInd w:val="0"/>
              <w:snapToGrid w:val="0"/>
              <w:ind w:left="1600" w:hanging="1600" w:hangingChars="500"/>
              <w:rPr>
                <w:bCs/>
                <w:sz w:val="32"/>
                <w:szCs w:val="36"/>
              </w:rPr>
            </w:pPr>
            <w:r>
              <w:rPr>
                <w:bCs/>
                <w:sz w:val="32"/>
                <w:szCs w:val="36"/>
              </w:rPr>
              <w:t>：</w:t>
            </w:r>
          </w:p>
        </w:tc>
        <w:tc>
          <w:tcPr>
            <w:tcW w:w="5014" w:type="dxa"/>
            <w:vAlign w:val="center"/>
          </w:tcPr>
          <w:p>
            <w:pPr>
              <w:snapToGrid w:val="0"/>
              <w:rPr>
                <w:sz w:val="32"/>
                <w:szCs w:val="36"/>
                <w:u w:val="single"/>
              </w:rPr>
            </w:pPr>
          </w:p>
        </w:tc>
      </w:tr>
      <w:tr>
        <w:tblPrEx>
          <w:tblCellMar>
            <w:top w:w="0" w:type="dxa"/>
            <w:left w:w="108" w:type="dxa"/>
            <w:bottom w:w="0" w:type="dxa"/>
            <w:right w:w="108" w:type="dxa"/>
          </w:tblCellMar>
        </w:tblPrEx>
        <w:trPr>
          <w:trHeight w:val="680" w:hRule="exact"/>
          <w:jc w:val="center"/>
        </w:trPr>
        <w:tc>
          <w:tcPr>
            <w:tcW w:w="2412" w:type="dxa"/>
            <w:vAlign w:val="center"/>
          </w:tcPr>
          <w:p>
            <w:pPr>
              <w:snapToGrid w:val="0"/>
              <w:jc w:val="distribute"/>
              <w:rPr>
                <w:sz w:val="32"/>
                <w:szCs w:val="36"/>
              </w:rPr>
            </w:pPr>
            <w:r>
              <w:rPr>
                <w:sz w:val="32"/>
                <w:szCs w:val="36"/>
              </w:rPr>
              <w:t xml:space="preserve">签订日期                 </w:t>
            </w:r>
          </w:p>
        </w:tc>
        <w:tc>
          <w:tcPr>
            <w:tcW w:w="324" w:type="dxa"/>
            <w:vAlign w:val="center"/>
          </w:tcPr>
          <w:p>
            <w:pPr>
              <w:tabs>
                <w:tab w:val="left" w:pos="720"/>
              </w:tabs>
              <w:adjustRightInd w:val="0"/>
              <w:snapToGrid w:val="0"/>
              <w:ind w:left="1600" w:hanging="1600" w:hangingChars="500"/>
              <w:rPr>
                <w:bCs/>
                <w:sz w:val="32"/>
                <w:szCs w:val="36"/>
              </w:rPr>
            </w:pPr>
            <w:r>
              <w:rPr>
                <w:bCs/>
                <w:sz w:val="32"/>
                <w:szCs w:val="36"/>
              </w:rPr>
              <w:t>：</w:t>
            </w:r>
          </w:p>
        </w:tc>
        <w:tc>
          <w:tcPr>
            <w:tcW w:w="5014" w:type="dxa"/>
            <w:vAlign w:val="center"/>
          </w:tcPr>
          <w:p>
            <w:pPr>
              <w:snapToGrid w:val="0"/>
              <w:rPr>
                <w:sz w:val="32"/>
                <w:szCs w:val="36"/>
              </w:rPr>
            </w:pPr>
            <w:r>
              <w:rPr>
                <w:rFonts w:hint="eastAsia"/>
                <w:sz w:val="32"/>
                <w:szCs w:val="36"/>
              </w:rPr>
              <w:t>2020</w:t>
            </w:r>
            <w:r>
              <w:rPr>
                <w:sz w:val="32"/>
                <w:szCs w:val="36"/>
              </w:rPr>
              <w:t>年</w:t>
            </w:r>
            <w:r>
              <w:rPr>
                <w:rFonts w:hint="eastAsia"/>
                <w:sz w:val="32"/>
                <w:szCs w:val="36"/>
              </w:rPr>
              <w:t xml:space="preserve"> </w:t>
            </w:r>
            <w:r>
              <w:rPr>
                <w:rFonts w:hint="eastAsia"/>
                <w:sz w:val="32"/>
                <w:szCs w:val="36"/>
                <w:lang w:val="en-US" w:eastAsia="zh-CN"/>
              </w:rPr>
              <w:t>11</w:t>
            </w:r>
            <w:r>
              <w:rPr>
                <w:rFonts w:hint="eastAsia"/>
                <w:sz w:val="32"/>
                <w:szCs w:val="36"/>
              </w:rPr>
              <w:t xml:space="preserve"> </w:t>
            </w:r>
            <w:r>
              <w:rPr>
                <w:sz w:val="32"/>
                <w:szCs w:val="36"/>
              </w:rPr>
              <w:t>月</w:t>
            </w:r>
          </w:p>
        </w:tc>
      </w:tr>
      <w:tr>
        <w:tblPrEx>
          <w:tblCellMar>
            <w:top w:w="0" w:type="dxa"/>
            <w:left w:w="108" w:type="dxa"/>
            <w:bottom w:w="0" w:type="dxa"/>
            <w:right w:w="108" w:type="dxa"/>
          </w:tblCellMar>
        </w:tblPrEx>
        <w:trPr>
          <w:trHeight w:val="680" w:hRule="exact"/>
          <w:jc w:val="center"/>
        </w:trPr>
        <w:tc>
          <w:tcPr>
            <w:tcW w:w="2412" w:type="dxa"/>
            <w:vAlign w:val="center"/>
          </w:tcPr>
          <w:p>
            <w:pPr>
              <w:snapToGrid w:val="0"/>
              <w:jc w:val="distribute"/>
              <w:rPr>
                <w:sz w:val="32"/>
                <w:szCs w:val="36"/>
              </w:rPr>
            </w:pPr>
            <w:r>
              <w:rPr>
                <w:sz w:val="32"/>
                <w:szCs w:val="36"/>
              </w:rPr>
              <w:t xml:space="preserve">签订地点                       </w:t>
            </w:r>
          </w:p>
        </w:tc>
        <w:tc>
          <w:tcPr>
            <w:tcW w:w="324" w:type="dxa"/>
            <w:vAlign w:val="center"/>
          </w:tcPr>
          <w:p>
            <w:pPr>
              <w:tabs>
                <w:tab w:val="left" w:pos="720"/>
              </w:tabs>
              <w:adjustRightInd w:val="0"/>
              <w:snapToGrid w:val="0"/>
              <w:ind w:left="1600" w:hanging="1600" w:hangingChars="500"/>
              <w:rPr>
                <w:bCs/>
                <w:sz w:val="32"/>
                <w:szCs w:val="36"/>
              </w:rPr>
            </w:pPr>
            <w:r>
              <w:rPr>
                <w:bCs/>
                <w:sz w:val="32"/>
                <w:szCs w:val="36"/>
              </w:rPr>
              <w:t>：</w:t>
            </w:r>
          </w:p>
        </w:tc>
        <w:tc>
          <w:tcPr>
            <w:tcW w:w="5014" w:type="dxa"/>
            <w:vAlign w:val="center"/>
          </w:tcPr>
          <w:p>
            <w:pPr>
              <w:snapToGrid w:val="0"/>
              <w:rPr>
                <w:sz w:val="32"/>
                <w:szCs w:val="36"/>
              </w:rPr>
            </w:pPr>
            <w:r>
              <w:rPr>
                <w:rFonts w:hint="eastAsia"/>
                <w:sz w:val="32"/>
                <w:szCs w:val="36"/>
              </w:rPr>
              <w:t>广东</w:t>
            </w:r>
            <w:r>
              <w:rPr>
                <w:sz w:val="32"/>
                <w:szCs w:val="36"/>
              </w:rPr>
              <w:t>省</w:t>
            </w:r>
            <w:r>
              <w:rPr>
                <w:rFonts w:hint="eastAsia"/>
                <w:sz w:val="32"/>
                <w:szCs w:val="36"/>
              </w:rPr>
              <w:t>广州</w:t>
            </w:r>
            <w:r>
              <w:rPr>
                <w:sz w:val="32"/>
                <w:szCs w:val="36"/>
              </w:rPr>
              <w:t>市</w:t>
            </w:r>
            <w:r>
              <w:rPr>
                <w:rFonts w:hint="eastAsia"/>
                <w:sz w:val="32"/>
                <w:szCs w:val="36"/>
              </w:rPr>
              <w:t>越秀</w:t>
            </w:r>
            <w:r>
              <w:rPr>
                <w:sz w:val="32"/>
                <w:szCs w:val="36"/>
              </w:rPr>
              <w:t>区</w:t>
            </w:r>
          </w:p>
        </w:tc>
      </w:tr>
    </w:tbl>
    <w:p>
      <w:pPr>
        <w:tabs>
          <w:tab w:val="left" w:pos="720"/>
        </w:tabs>
        <w:spacing w:line="360" w:lineRule="auto"/>
        <w:ind w:firstLine="600"/>
        <w:jc w:val="center"/>
        <w:rPr>
          <w:sz w:val="30"/>
          <w:szCs w:val="30"/>
        </w:rPr>
      </w:pPr>
    </w:p>
    <w:p>
      <w:pPr>
        <w:tabs>
          <w:tab w:val="left" w:pos="720"/>
        </w:tabs>
        <w:spacing w:line="360" w:lineRule="auto"/>
        <w:ind w:firstLine="600"/>
        <w:jc w:val="center"/>
        <w:rPr>
          <w:szCs w:val="21"/>
        </w:rPr>
      </w:pPr>
      <w:r>
        <w:rPr>
          <w:sz w:val="30"/>
          <w:szCs w:val="30"/>
        </w:rPr>
        <w:t>广东省政务服务数据管理局印制</w:t>
      </w:r>
    </w:p>
    <w:p>
      <w:pPr>
        <w:tabs>
          <w:tab w:val="left" w:pos="720"/>
        </w:tabs>
        <w:spacing w:line="360" w:lineRule="auto"/>
        <w:jc w:val="center"/>
        <w:rPr>
          <w:rFonts w:ascii="宋体" w:hAnsi="宋体"/>
          <w:b/>
          <w:szCs w:val="21"/>
        </w:rPr>
      </w:pPr>
    </w:p>
    <w:p>
      <w:pPr>
        <w:tabs>
          <w:tab w:val="left" w:pos="720"/>
        </w:tabs>
        <w:jc w:val="center"/>
        <w:rPr>
          <w:rFonts w:ascii="宋体" w:hAnsi="宋体"/>
          <w:b/>
        </w:rPr>
        <w:sectPr>
          <w:footerReference r:id="rId4" w:type="first"/>
          <w:footerReference r:id="rId3" w:type="default"/>
          <w:pgSz w:w="11906" w:h="16838"/>
          <w:pgMar w:top="1440" w:right="1558" w:bottom="1440" w:left="1800" w:header="851" w:footer="992" w:gutter="0"/>
          <w:cols w:space="720" w:num="1"/>
          <w:titlePg/>
          <w:docGrid w:type="lines" w:linePitch="312" w:charSpace="0"/>
        </w:sectPr>
      </w:pPr>
    </w:p>
    <w:p>
      <w:pPr>
        <w:tabs>
          <w:tab w:val="left" w:pos="720"/>
        </w:tabs>
        <w:spacing w:line="360" w:lineRule="auto"/>
        <w:jc w:val="center"/>
        <w:rPr>
          <w:rFonts w:hint="eastAsia" w:ascii="宋体" w:hAnsi="宋体"/>
          <w:b/>
          <w:sz w:val="36"/>
          <w:szCs w:val="36"/>
        </w:rPr>
      </w:pPr>
    </w:p>
    <w:p>
      <w:pPr>
        <w:tabs>
          <w:tab w:val="left" w:pos="720"/>
        </w:tabs>
        <w:spacing w:line="360" w:lineRule="auto"/>
        <w:jc w:val="center"/>
        <w:rPr>
          <w:rFonts w:hint="eastAsia" w:ascii="宋体" w:hAnsi="宋体"/>
          <w:b/>
          <w:sz w:val="36"/>
          <w:szCs w:val="36"/>
        </w:rPr>
      </w:pPr>
    </w:p>
    <w:p>
      <w:pPr>
        <w:tabs>
          <w:tab w:val="left" w:pos="720"/>
        </w:tabs>
        <w:spacing w:line="360" w:lineRule="auto"/>
        <w:jc w:val="center"/>
        <w:rPr>
          <w:rFonts w:ascii="宋体" w:hAnsi="宋体"/>
          <w:b/>
          <w:sz w:val="36"/>
          <w:szCs w:val="36"/>
        </w:rPr>
      </w:pPr>
      <w:r>
        <w:rPr>
          <w:rFonts w:hint="eastAsia" w:ascii="宋体" w:hAnsi="宋体"/>
          <w:b/>
          <w:sz w:val="36"/>
          <w:szCs w:val="36"/>
        </w:rPr>
        <w:t>填</w:t>
      </w:r>
      <w:r>
        <w:rPr>
          <w:rFonts w:ascii="宋体" w:hAnsi="宋体"/>
          <w:b/>
          <w:sz w:val="36"/>
          <w:szCs w:val="36"/>
        </w:rPr>
        <w:t xml:space="preserve"> 写 说 明</w:t>
      </w:r>
    </w:p>
    <w:p>
      <w:pPr>
        <w:tabs>
          <w:tab w:val="left" w:pos="720"/>
        </w:tabs>
        <w:spacing w:line="360" w:lineRule="auto"/>
        <w:jc w:val="center"/>
        <w:rPr>
          <w:rFonts w:ascii="宋体" w:hAnsi="宋体"/>
          <w:b/>
          <w:szCs w:val="21"/>
        </w:rPr>
      </w:pPr>
    </w:p>
    <w:p>
      <w:pPr>
        <w:tabs>
          <w:tab w:val="left" w:pos="720"/>
        </w:tabs>
        <w:spacing w:before="156" w:beforeLines="50" w:after="156" w:afterLines="50" w:line="360" w:lineRule="auto"/>
        <w:ind w:firstLine="480" w:firstLineChars="200"/>
        <w:jc w:val="left"/>
        <w:rPr>
          <w:rFonts w:ascii="楷体_GB2312" w:hAnsi="宋体" w:eastAsia="楷体_GB2312"/>
          <w:sz w:val="24"/>
          <w:szCs w:val="24"/>
        </w:rPr>
      </w:pPr>
      <w:r>
        <w:rPr>
          <w:rFonts w:hint="eastAsia" w:ascii="楷体_GB2312" w:hAnsi="宋体" w:eastAsia="楷体_GB2312"/>
          <w:sz w:val="24"/>
          <w:szCs w:val="24"/>
        </w:rPr>
        <w:t>一、本合同为广东省政务服务数据管理局印制的项目服务合同示范文本，省直各单位可参照使用。</w:t>
      </w:r>
    </w:p>
    <w:p>
      <w:pPr>
        <w:tabs>
          <w:tab w:val="left" w:pos="720"/>
        </w:tabs>
        <w:spacing w:before="156" w:beforeLines="50" w:after="156" w:afterLines="50" w:line="360" w:lineRule="auto"/>
        <w:ind w:firstLine="480" w:firstLineChars="200"/>
        <w:jc w:val="left"/>
        <w:rPr>
          <w:rFonts w:ascii="楷体_GB2312" w:hAnsi="宋体" w:eastAsia="楷体_GB2312"/>
          <w:sz w:val="24"/>
          <w:szCs w:val="24"/>
        </w:rPr>
      </w:pPr>
      <w:r>
        <w:rPr>
          <w:rFonts w:hint="eastAsia" w:ascii="楷体_GB2312" w:hAnsi="宋体" w:eastAsia="楷体_GB2312"/>
          <w:sz w:val="24"/>
          <w:szCs w:val="24"/>
        </w:rPr>
        <w:t>二、本合同书适用于一方当事人（受托方）为另一方（委托方）提供第三方服务所订立的合同。</w:t>
      </w:r>
    </w:p>
    <w:p>
      <w:pPr>
        <w:tabs>
          <w:tab w:val="left" w:pos="720"/>
        </w:tabs>
        <w:spacing w:before="156" w:beforeLines="50" w:after="156" w:afterLines="50" w:line="360" w:lineRule="auto"/>
        <w:ind w:firstLine="480" w:firstLineChars="200"/>
        <w:jc w:val="left"/>
        <w:rPr>
          <w:rFonts w:ascii="楷体_GB2312" w:hAnsi="宋体" w:eastAsia="楷体_GB2312"/>
          <w:sz w:val="24"/>
          <w:szCs w:val="24"/>
        </w:rPr>
      </w:pPr>
      <w:r>
        <w:rPr>
          <w:rFonts w:hint="eastAsia" w:ascii="楷体_GB2312" w:hAnsi="宋体" w:eastAsia="楷体_GB2312"/>
          <w:sz w:val="24"/>
          <w:szCs w:val="24"/>
        </w:rPr>
        <w:t>三、签约一方为多个当事人的，可按各自在合同关系中的作用等，在“委托方”、“受托方”项下（增页）分别排列为共同委托人或共同受托人。</w:t>
      </w:r>
    </w:p>
    <w:p>
      <w:pPr>
        <w:tabs>
          <w:tab w:val="left" w:pos="720"/>
        </w:tabs>
        <w:spacing w:before="156" w:beforeLines="50" w:after="156" w:afterLines="50" w:line="360" w:lineRule="auto"/>
        <w:ind w:firstLine="480" w:firstLineChars="200"/>
        <w:jc w:val="left"/>
        <w:rPr>
          <w:rFonts w:ascii="楷体_GB2312" w:hAnsi="宋体" w:eastAsia="楷体_GB2312"/>
          <w:sz w:val="24"/>
          <w:szCs w:val="24"/>
        </w:rPr>
      </w:pPr>
      <w:r>
        <w:rPr>
          <w:rFonts w:hint="eastAsia" w:ascii="楷体_GB2312" w:hAnsi="宋体" w:eastAsia="楷体_GB2312"/>
          <w:sz w:val="24"/>
          <w:szCs w:val="24"/>
        </w:rPr>
        <w:t>四、本合同书未尽事项，可由当事人附页另行约定，并作为本合同的组成部分。</w:t>
      </w:r>
    </w:p>
    <w:p>
      <w:pPr>
        <w:tabs>
          <w:tab w:val="left" w:pos="720"/>
        </w:tabs>
        <w:spacing w:before="156" w:beforeLines="50" w:after="156" w:afterLines="50"/>
        <w:ind w:firstLine="480" w:firstLineChars="200"/>
        <w:jc w:val="left"/>
        <w:rPr>
          <w:rFonts w:ascii="楷体_GB2312" w:hAnsi="宋体" w:eastAsia="楷体_GB2312"/>
          <w:sz w:val="24"/>
          <w:szCs w:val="24"/>
        </w:rPr>
        <w:sectPr>
          <w:pgSz w:w="11906" w:h="16838"/>
          <w:pgMar w:top="1440" w:right="1558" w:bottom="1440" w:left="1800" w:header="851" w:footer="992" w:gutter="0"/>
          <w:cols w:space="720" w:num="1"/>
          <w:titlePg/>
          <w:docGrid w:type="lines" w:linePitch="312" w:charSpace="0"/>
        </w:sectPr>
      </w:pPr>
      <w:r>
        <w:rPr>
          <w:rFonts w:hint="eastAsia" w:ascii="楷体_GB2312" w:hAnsi="宋体" w:eastAsia="楷体_GB2312"/>
          <w:sz w:val="24"/>
          <w:szCs w:val="24"/>
        </w:rPr>
        <w:t>五、当事人使用本合同书时约定无需填写的条款，应在该条款处注明“无”等字样。</w:t>
      </w:r>
    </w:p>
    <w:p>
      <w:pPr>
        <w:autoSpaceDE w:val="0"/>
        <w:autoSpaceDN w:val="0"/>
        <w:adjustRightInd w:val="0"/>
        <w:snapToGrid w:val="0"/>
        <w:spacing w:line="360" w:lineRule="auto"/>
        <w:ind w:right="34" w:firstLine="630" w:firstLineChars="3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根据《中华人民共和国合同法》及其它相关法律法规的规定，就</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（以下简称“乙方”）向</w:t>
      </w:r>
      <w:r>
        <w:rPr>
          <w:rFonts w:hint="default" w:ascii="Times New Roman" w:hAnsi="Times New Roman" w:eastAsia="宋体" w:cs="Times New Roman"/>
          <w:sz w:val="21"/>
          <w:szCs w:val="21"/>
          <w:u w:val="single"/>
        </w:rPr>
        <w:t>广东省政务服务数据管理局</w:t>
      </w:r>
      <w:r>
        <w:rPr>
          <w:rFonts w:hint="default" w:ascii="Times New Roman" w:hAnsi="Times New Roman" w:eastAsia="宋体" w:cs="Times New Roman"/>
          <w:sz w:val="21"/>
          <w:szCs w:val="21"/>
        </w:rPr>
        <w:t>（以下简称“甲方”）提供第三方</w:t>
      </w:r>
      <w:r>
        <w:rPr>
          <w:rFonts w:hint="eastAsia" w:ascii="Times New Roman" w:hAnsi="Times New Roman" w:cs="Times New Roman"/>
          <w:sz w:val="21"/>
          <w:szCs w:val="21"/>
          <w:highlight w:val="none"/>
          <w:lang w:val="en-US" w:eastAsia="zh-CN"/>
        </w:rPr>
        <w:t>咨询</w:t>
      </w:r>
      <w:r>
        <w:rPr>
          <w:rFonts w:hint="default" w:ascii="Times New Roman" w:hAnsi="Times New Roman" w:eastAsia="宋体" w:cs="Times New Roman"/>
          <w:sz w:val="21"/>
          <w:szCs w:val="21"/>
          <w:highlight w:val="none"/>
        </w:rPr>
        <w:t>服务</w:t>
      </w:r>
      <w:r>
        <w:rPr>
          <w:rFonts w:hint="default" w:ascii="Times New Roman" w:hAnsi="Times New Roman" w:eastAsia="宋体" w:cs="Times New Roman"/>
          <w:sz w:val="21"/>
          <w:szCs w:val="21"/>
        </w:rPr>
        <w:t>（以下简称“服务”）事宜，经甲乙双方共同协商，一致达成如下各条款，以资共同遵照协议。</w:t>
      </w:r>
    </w:p>
    <w:p>
      <w:pPr>
        <w:keepNext/>
        <w:keepLines/>
        <w:numPr>
          <w:ilvl w:val="0"/>
          <w:numId w:val="5"/>
        </w:numPr>
        <w:spacing w:before="340" w:after="330" w:line="360" w:lineRule="auto"/>
        <w:outlineLvl w:val="0"/>
        <w:rPr>
          <w:rFonts w:hint="default" w:ascii="Times New Roman" w:hAnsi="Times New Roman" w:eastAsia="宋体" w:cs="Times New Roman"/>
          <w:b/>
          <w:bCs/>
          <w:kern w:val="44"/>
          <w:sz w:val="21"/>
          <w:szCs w:val="21"/>
        </w:rPr>
      </w:pPr>
      <w:bookmarkStart w:id="6" w:name="_Toc530148353"/>
      <w:r>
        <w:rPr>
          <w:rFonts w:hint="default" w:ascii="Times New Roman" w:hAnsi="Times New Roman" w:eastAsia="宋体" w:cs="Times New Roman"/>
          <w:b/>
          <w:bCs/>
          <w:kern w:val="44"/>
          <w:sz w:val="21"/>
          <w:szCs w:val="21"/>
        </w:rPr>
        <w:t>相关术语的定义和解释</w:t>
      </w:r>
      <w:bookmarkEnd w:id="6"/>
    </w:p>
    <w:p>
      <w:pPr>
        <w:keepNext/>
        <w:keepLines/>
        <w:numPr>
          <w:ilvl w:val="1"/>
          <w:numId w:val="5"/>
        </w:numPr>
        <w:spacing w:before="260" w:after="260" w:line="360" w:lineRule="auto"/>
        <w:ind w:left="227"/>
        <w:outlineLvl w:val="1"/>
        <w:rPr>
          <w:rFonts w:hint="default" w:ascii="Times New Roman" w:hAnsi="Times New Roman" w:eastAsia="宋体" w:cs="Times New Roman"/>
          <w:b/>
          <w:bCs/>
          <w:sz w:val="21"/>
          <w:szCs w:val="21"/>
        </w:rPr>
      </w:pPr>
      <w:bookmarkStart w:id="7" w:name="_Toc530148354"/>
      <w:r>
        <w:rPr>
          <w:rFonts w:hint="default" w:ascii="Times New Roman" w:hAnsi="Times New Roman" w:eastAsia="宋体" w:cs="Times New Roman"/>
          <w:b/>
          <w:bCs/>
          <w:sz w:val="21"/>
          <w:szCs w:val="21"/>
        </w:rPr>
        <w:t>定义</w:t>
      </w:r>
      <w:bookmarkEnd w:id="7"/>
    </w:p>
    <w:p>
      <w:pPr>
        <w:autoSpaceDE w:val="0"/>
        <w:autoSpaceDN w:val="0"/>
        <w:adjustRightInd w:val="0"/>
        <w:snapToGrid w:val="0"/>
        <w:spacing w:line="360" w:lineRule="auto"/>
        <w:ind w:firstLine="420" w:firstLineChars="200"/>
        <w:jc w:val="left"/>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1.1.1.本</w:t>
      </w:r>
      <w:r>
        <w:rPr>
          <w:rFonts w:hint="eastAsia" w:ascii="Times New Roman" w:hAnsi="Times New Roman" w:eastAsia="宋体" w:cs="Times New Roman"/>
          <w:sz w:val="21"/>
          <w:szCs w:val="21"/>
          <w:u w:val="single"/>
        </w:rPr>
        <w:t>项目：</w:t>
      </w:r>
      <w:r>
        <w:rPr>
          <w:rFonts w:hint="eastAsia" w:ascii="Times New Roman" w:hAnsi="Times New Roman" w:eastAsia="宋体"/>
          <w:sz w:val="21"/>
          <w:szCs w:val="21"/>
          <w:u w:val="single"/>
        </w:rPr>
        <w:t>广东省统一身份认证</w:t>
      </w:r>
      <w:r>
        <w:rPr>
          <w:rFonts w:hint="eastAsia" w:ascii="Times New Roman" w:hAnsi="Times New Roman" w:eastAsia="宋体"/>
          <w:b w:val="0"/>
          <w:bCs w:val="0"/>
          <w:color w:val="333333"/>
          <w:kern w:val="2"/>
          <w:sz w:val="21"/>
          <w:szCs w:val="21"/>
          <w:u w:val="single"/>
        </w:rPr>
        <w:t>业务规划咨询</w:t>
      </w:r>
      <w:r>
        <w:rPr>
          <w:rFonts w:hint="eastAsia" w:ascii="Times New Roman" w:hAnsi="Times New Roman" w:eastAsia="宋体"/>
          <w:sz w:val="21"/>
          <w:szCs w:val="21"/>
          <w:u w:val="single"/>
        </w:rPr>
        <w:t>服务</w:t>
      </w:r>
      <w:r>
        <w:rPr>
          <w:rFonts w:hint="eastAsia" w:ascii="Times New Roman" w:hAnsi="Times New Roman"/>
          <w:sz w:val="21"/>
          <w:szCs w:val="21"/>
          <w:u w:val="single"/>
          <w:lang w:eastAsia="zh-CN"/>
        </w:rPr>
        <w:t>。</w:t>
      </w:r>
    </w:p>
    <w:p>
      <w:pPr>
        <w:autoSpaceDE w:val="0"/>
        <w:autoSpaceDN w:val="0"/>
        <w:adjustRightInd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1.1.2.甲方：</w:t>
      </w:r>
      <w:r>
        <w:rPr>
          <w:rFonts w:hint="eastAsia" w:ascii="Times New Roman" w:hAnsi="Times New Roman" w:eastAsia="宋体" w:cs="Times New Roman"/>
          <w:sz w:val="21"/>
          <w:szCs w:val="21"/>
          <w:u w:val="single"/>
          <w:lang w:val="en-US" w:eastAsia="zh-CN"/>
        </w:rPr>
        <w:t>广东省政务服务数据管理局</w:t>
      </w:r>
      <w:r>
        <w:rPr>
          <w:rFonts w:hint="default" w:ascii="Times New Roman" w:hAnsi="Times New Roman" w:eastAsia="宋体" w:cs="Times New Roman"/>
          <w:sz w:val="21"/>
          <w:szCs w:val="21"/>
          <w:u w:val="single"/>
        </w:rPr>
        <w:t>。</w:t>
      </w:r>
    </w:p>
    <w:p>
      <w:pPr>
        <w:autoSpaceDE w:val="0"/>
        <w:autoSpaceDN w:val="0"/>
        <w:adjustRightInd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1.1.3.乙方：</w:t>
      </w:r>
      <w:r>
        <w:rPr>
          <w:rFonts w:hint="eastAsia"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rPr>
        <w:t>。</w:t>
      </w:r>
    </w:p>
    <w:p>
      <w:pPr>
        <w:autoSpaceDE w:val="0"/>
        <w:autoSpaceDN w:val="0"/>
        <w:adjustRightInd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1.1.4.咨询监理单位：受甲方委托对本项目进行第三方咨询监理的单位。</w:t>
      </w:r>
    </w:p>
    <w:p>
      <w:pPr>
        <w:autoSpaceDE w:val="0"/>
        <w:autoSpaceDN w:val="0"/>
        <w:adjustRightInd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1.1.5.省直各单位：经广东省机构编制委员会批准设立的广东省直属行政事业单位，主要包括省府办公厅、省政府组成部门、省政府直属特设机构、省政府直属机构、部门管理机构、其他机构、省政府直属事业单位、其他。</w:t>
      </w:r>
    </w:p>
    <w:p>
      <w:pPr>
        <w:autoSpaceDE w:val="0"/>
        <w:autoSpaceDN w:val="0"/>
        <w:adjustRightInd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1.1.6.适用法律：指所有适用的中华人民共和国法律、法规、部门规章、地方性法规、司法解释、政府部门颁布的标准、规范或其他适用的强制性要求、有法律约束力的规范性文件等。除非另有特别约定或文意另有所指，本合同中提及的“法律”均包括适用法律的全部定义内容。</w:t>
      </w:r>
    </w:p>
    <w:p>
      <w:pPr>
        <w:autoSpaceDE w:val="0"/>
        <w:autoSpaceDN w:val="0"/>
        <w:adjustRightInd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1.1.7.法律变更：指在生效日后颁布、修订、废止或重新解释的任何适用法律导致甲方或乙方在本合同项下的权利义务发生实质性变化。</w:t>
      </w:r>
    </w:p>
    <w:p>
      <w:pPr>
        <w:autoSpaceDE w:val="0"/>
        <w:autoSpaceDN w:val="0"/>
        <w:adjustRightInd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1.1.8.批准：指为了使乙方能够履行其在本合同项下的义务和行使其在本合同项下的权利，乙方必须从甲方或省直单位依法获得的为乙方的建设、运营、运维所需要的任何许可、同意、授权等。</w:t>
      </w:r>
    </w:p>
    <w:p>
      <w:pPr>
        <w:autoSpaceDE w:val="0"/>
        <w:autoSpaceDN w:val="0"/>
        <w:adjustRightInd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1.1.9.生效日：指本合同甲乙双方盖章并由双方法定代表人或授权代表人签字之日。如依照适用法律需要履行审批程序的，则在有权部门审批后生效。</w:t>
      </w:r>
    </w:p>
    <w:p>
      <w:pPr>
        <w:autoSpaceDE w:val="0"/>
        <w:autoSpaceDN w:val="0"/>
        <w:adjustRightInd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1.1.10.服务实施：指乙方根据本合同开展服务实施准备、执行、收尾等为实现服务交付开展的工作。</w:t>
      </w:r>
    </w:p>
    <w:p>
      <w:pPr>
        <w:autoSpaceDE w:val="0"/>
        <w:autoSpaceDN w:val="0"/>
        <w:adjustRightInd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1.1.11.服务交付：指乙方根据本合同提交交付申请，经甲方组织验收后确认服务交付的过程。</w:t>
      </w:r>
    </w:p>
    <w:p>
      <w:pPr>
        <w:autoSpaceDE w:val="0"/>
        <w:autoSpaceDN w:val="0"/>
        <w:adjustRightInd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1.1.12.最终验收：对项目整体服务的验收。</w:t>
      </w:r>
    </w:p>
    <w:p>
      <w:pPr>
        <w:autoSpaceDE w:val="0"/>
        <w:autoSpaceDN w:val="0"/>
        <w:adjustRightInd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1.1.13.服务期限：指本项目周期、期限。</w:t>
      </w:r>
    </w:p>
    <w:p>
      <w:pPr>
        <w:autoSpaceDE w:val="0"/>
        <w:autoSpaceDN w:val="0"/>
        <w:adjustRightInd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1.1.14.其他在本合同及相关附件中涉及的有关名词和技术术语，其定义和解释如下：</w:t>
      </w:r>
    </w:p>
    <w:p>
      <w:pPr>
        <w:autoSpaceDE w:val="0"/>
        <w:autoSpaceDN w:val="0"/>
        <w:adjustRightInd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u w:val="single"/>
          <w:lang w:val="en-US" w:eastAsia="zh-CN"/>
        </w:rPr>
        <w:t xml:space="preserve">  无     </w:t>
      </w:r>
      <w:r>
        <w:rPr>
          <w:rFonts w:hint="default" w:ascii="Times New Roman" w:hAnsi="Times New Roman" w:eastAsia="宋体" w:cs="Times New Roman"/>
          <w:sz w:val="21"/>
          <w:szCs w:val="21"/>
        </w:rPr>
        <w:t>；</w:t>
      </w:r>
    </w:p>
    <w:p>
      <w:pPr>
        <w:autoSpaceDE w:val="0"/>
        <w:autoSpaceDN w:val="0"/>
        <w:adjustRightInd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r>
        <w:rPr>
          <w:rFonts w:hint="default" w:ascii="Times New Roman" w:hAnsi="Times New Roman" w:eastAsia="宋体" w:cs="Times New Roman"/>
          <w:sz w:val="21"/>
          <w:szCs w:val="21"/>
          <w:u w:val="single"/>
          <w:lang w:val="en-US" w:eastAsia="zh-CN"/>
        </w:rPr>
        <w:t xml:space="preserve">  无     </w:t>
      </w:r>
      <w:r>
        <w:rPr>
          <w:rFonts w:hint="default" w:ascii="Times New Roman" w:hAnsi="Times New Roman" w:eastAsia="宋体" w:cs="Times New Roman"/>
          <w:sz w:val="21"/>
          <w:szCs w:val="21"/>
        </w:rPr>
        <w:t>。</w:t>
      </w:r>
    </w:p>
    <w:p>
      <w:pPr>
        <w:keepNext/>
        <w:keepLines/>
        <w:numPr>
          <w:ilvl w:val="1"/>
          <w:numId w:val="5"/>
        </w:numPr>
        <w:spacing w:before="260" w:after="260" w:line="360" w:lineRule="auto"/>
        <w:ind w:left="227"/>
        <w:outlineLvl w:val="1"/>
        <w:rPr>
          <w:rFonts w:hint="default" w:ascii="Times New Roman" w:hAnsi="Times New Roman" w:eastAsia="宋体" w:cs="Times New Roman"/>
          <w:b/>
          <w:bCs/>
          <w:sz w:val="21"/>
          <w:szCs w:val="21"/>
        </w:rPr>
      </w:pPr>
      <w:bookmarkStart w:id="8" w:name="_Toc530148355"/>
      <w:r>
        <w:rPr>
          <w:rFonts w:hint="default" w:ascii="Times New Roman" w:hAnsi="Times New Roman" w:eastAsia="宋体" w:cs="Times New Roman"/>
          <w:b/>
          <w:bCs/>
          <w:sz w:val="21"/>
          <w:szCs w:val="21"/>
        </w:rPr>
        <w:t>解释</w:t>
      </w:r>
      <w:bookmarkEnd w:id="8"/>
    </w:p>
    <w:p>
      <w:pPr>
        <w:autoSpaceDE w:val="0"/>
        <w:autoSpaceDN w:val="0"/>
        <w:adjustRightInd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1.2.1.“工作日”是指国家所规定的节假日之外的所有的工作日，凡本合同所约定的工作日均指工作日，未指明工作日的日期指自然顺延的日期。</w:t>
      </w:r>
    </w:p>
    <w:p>
      <w:pPr>
        <w:autoSpaceDE w:val="0"/>
        <w:autoSpaceDN w:val="0"/>
        <w:adjustRightInd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1.2.2.所指的日、月和年均指公历的日、月和年，其中一年以三百六十五日计，一个月以三十日计。</w:t>
      </w:r>
    </w:p>
    <w:p>
      <w:pPr>
        <w:autoSpaceDE w:val="0"/>
        <w:autoSpaceDN w:val="0"/>
        <w:adjustRightInd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1.2.3.“不可抗力”是指任何一方由于出现不可抗力事件使该方无法全部或部分履行其本合同项下的义务致使合同目的不能实现时，该方应有权中止履行本合同项下的义务，但应及时通知对方，以减轻可能给对方造成的损失，并应在合理期限内向对方提供不可抗力的证明。</w:t>
      </w:r>
    </w:p>
    <w:p>
      <w:pPr>
        <w:autoSpaceDE w:val="0"/>
        <w:autoSpaceDN w:val="0"/>
        <w:adjustRightInd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1.2.4.“元”是指人民币元。</w:t>
      </w:r>
    </w:p>
    <w:p>
      <w:pPr>
        <w:autoSpaceDE w:val="0"/>
        <w:autoSpaceDN w:val="0"/>
        <w:adjustRightInd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1.2.5.条款或附件：指本合同的条款或附件；</w:t>
      </w:r>
    </w:p>
    <w:p>
      <w:pPr>
        <w:autoSpaceDE w:val="0"/>
        <w:autoSpaceDN w:val="0"/>
        <w:adjustRightInd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1.2.6.除非本合同另有明确约定，“包括”指包括但不限于；除本合同另有明确约定，“以上”、“以下”、“以内”或“内”均含本数，“超过”、“以外”不含本数。</w:t>
      </w:r>
    </w:p>
    <w:p>
      <w:pPr>
        <w:keepNext/>
        <w:keepLines/>
        <w:numPr>
          <w:ilvl w:val="0"/>
          <w:numId w:val="5"/>
        </w:numPr>
        <w:spacing w:before="340" w:after="330" w:line="360" w:lineRule="auto"/>
        <w:outlineLvl w:val="0"/>
        <w:rPr>
          <w:rFonts w:hint="default" w:ascii="Times New Roman" w:hAnsi="Times New Roman" w:eastAsia="宋体" w:cs="Times New Roman"/>
          <w:b/>
          <w:bCs/>
          <w:kern w:val="44"/>
          <w:sz w:val="21"/>
          <w:szCs w:val="21"/>
        </w:rPr>
      </w:pPr>
      <w:bookmarkStart w:id="9" w:name="_Toc530148360"/>
      <w:r>
        <w:rPr>
          <w:rFonts w:hint="default" w:ascii="Times New Roman" w:hAnsi="Times New Roman" w:eastAsia="宋体" w:cs="Times New Roman"/>
          <w:b/>
          <w:bCs/>
          <w:kern w:val="44"/>
          <w:sz w:val="21"/>
          <w:szCs w:val="21"/>
        </w:rPr>
        <w:t>服务实施和验收</w:t>
      </w:r>
    </w:p>
    <w:p>
      <w:pPr>
        <w:keepNext/>
        <w:keepLines/>
        <w:numPr>
          <w:ilvl w:val="1"/>
          <w:numId w:val="5"/>
        </w:numPr>
        <w:spacing w:before="260" w:after="260" w:line="360" w:lineRule="auto"/>
        <w:ind w:left="227"/>
        <w:outlineLvl w:val="1"/>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服务内容</w:t>
      </w:r>
    </w:p>
    <w:p>
      <w:pPr>
        <w:spacing w:line="360" w:lineRule="auto"/>
        <w:ind w:firstLine="482"/>
        <w:rPr>
          <w:rFonts w:hint="default" w:ascii="Times New Roman" w:hAnsi="Times New Roman" w:eastAsia="宋体" w:cs="Times New Roman"/>
          <w:kern w:val="44"/>
          <w:sz w:val="21"/>
          <w:szCs w:val="21"/>
        </w:rPr>
      </w:pPr>
      <w:r>
        <w:rPr>
          <w:rFonts w:hint="default" w:ascii="Times New Roman" w:hAnsi="Times New Roman" w:eastAsia="宋体" w:cs="Times New Roman"/>
          <w:sz w:val="21"/>
          <w:szCs w:val="21"/>
        </w:rPr>
        <w:t>2.1.1.</w:t>
      </w:r>
      <w:r>
        <w:rPr>
          <w:rFonts w:hint="eastAsia" w:ascii="宋体" w:hAnsi="宋体" w:eastAsia="宋体" w:cs="宋体"/>
          <w:szCs w:val="21"/>
          <w:lang w:val="zh-CN"/>
        </w:rPr>
        <w:t>本项目的服务内容为</w:t>
      </w:r>
      <w:r>
        <w:rPr>
          <w:rFonts w:hint="eastAsia" w:ascii="宋体" w:hAnsi="宋体" w:cs="宋体"/>
          <w:szCs w:val="21"/>
          <w:u w:val="single"/>
          <w:lang w:val="en-US" w:eastAsia="zh-CN"/>
        </w:rPr>
        <w:t>提供</w:t>
      </w:r>
      <w:r>
        <w:rPr>
          <w:rFonts w:hint="eastAsia" w:ascii="宋体" w:hAnsi="宋体" w:cs="宋体"/>
          <w:szCs w:val="21"/>
          <w:u w:val="single"/>
          <w:lang w:val="zh-CN"/>
        </w:rPr>
        <w:t>国家、我省统一身份认证的建设现状调研，对我省统一身份认证平台的建设情况进行合规性诊断，对我省统一身份认证下一步建设进行规划</w:t>
      </w:r>
      <w:r>
        <w:rPr>
          <w:rFonts w:hint="eastAsia" w:ascii="宋体" w:hAnsi="宋体" w:cs="宋体"/>
          <w:szCs w:val="21"/>
          <w:u w:val="none"/>
          <w:lang w:val="en-US" w:eastAsia="zh-CN"/>
        </w:rPr>
        <w:t>等咨询服务</w:t>
      </w:r>
      <w:r>
        <w:rPr>
          <w:rFonts w:hint="default" w:ascii="Times New Roman" w:hAnsi="Times New Roman" w:eastAsia="宋体" w:cs="Times New Roman"/>
          <w:kern w:val="44"/>
          <w:sz w:val="21"/>
          <w:szCs w:val="21"/>
        </w:rPr>
        <w:t>。其他详细内容见附件《</w:t>
      </w:r>
      <w:r>
        <w:rPr>
          <w:rFonts w:hint="default" w:ascii="Times New Roman" w:hAnsi="Times New Roman" w:eastAsia="宋体" w:cs="Times New Roman"/>
          <w:kern w:val="44"/>
          <w:sz w:val="21"/>
          <w:szCs w:val="21"/>
          <w:lang w:val="en-US" w:eastAsia="zh-CN"/>
        </w:rPr>
        <w:t>项目</w:t>
      </w:r>
      <w:r>
        <w:rPr>
          <w:rFonts w:hint="default" w:ascii="Times New Roman" w:hAnsi="Times New Roman" w:eastAsia="宋体" w:cs="Times New Roman"/>
          <w:kern w:val="44"/>
          <w:sz w:val="21"/>
          <w:szCs w:val="21"/>
        </w:rPr>
        <w:t>服务说明书》。</w:t>
      </w:r>
    </w:p>
    <w:p>
      <w:pPr>
        <w:spacing w:line="360" w:lineRule="auto"/>
        <w:ind w:firstLine="482"/>
        <w:rPr>
          <w:rFonts w:hint="default" w:ascii="Times New Roman" w:hAnsi="Times New Roman" w:eastAsia="宋体" w:cs="Times New Roman"/>
          <w:kern w:val="44"/>
          <w:sz w:val="21"/>
          <w:szCs w:val="21"/>
        </w:rPr>
      </w:pPr>
      <w:r>
        <w:rPr>
          <w:rFonts w:hint="default" w:ascii="Times New Roman" w:hAnsi="Times New Roman" w:eastAsia="宋体" w:cs="Times New Roman"/>
          <w:sz w:val="21"/>
          <w:szCs w:val="21"/>
        </w:rPr>
        <w:t>2.1.2.</w:t>
      </w:r>
      <w:r>
        <w:rPr>
          <w:rFonts w:hint="default" w:ascii="Times New Roman" w:hAnsi="Times New Roman" w:eastAsia="宋体" w:cs="Times New Roman"/>
          <w:kern w:val="44"/>
          <w:sz w:val="21"/>
          <w:szCs w:val="21"/>
        </w:rPr>
        <w:t>乙方应按本合同及《</w:t>
      </w:r>
      <w:r>
        <w:rPr>
          <w:rFonts w:hint="default" w:ascii="Times New Roman" w:hAnsi="Times New Roman" w:eastAsia="宋体" w:cs="Times New Roman"/>
          <w:kern w:val="44"/>
          <w:sz w:val="21"/>
          <w:szCs w:val="21"/>
          <w:lang w:val="en-US" w:eastAsia="zh-CN"/>
        </w:rPr>
        <w:t>项目</w:t>
      </w:r>
      <w:r>
        <w:rPr>
          <w:rFonts w:hint="default" w:ascii="Times New Roman" w:hAnsi="Times New Roman" w:eastAsia="宋体" w:cs="Times New Roman"/>
          <w:kern w:val="44"/>
          <w:sz w:val="21"/>
          <w:szCs w:val="21"/>
        </w:rPr>
        <w:t>服务说明书》中的相关约定，向甲方提供相应的技术服务和/或可交付成果物。项目的内容以《</w:t>
      </w:r>
      <w:r>
        <w:rPr>
          <w:rFonts w:hint="default" w:ascii="Times New Roman" w:hAnsi="Times New Roman" w:eastAsia="宋体" w:cs="Times New Roman"/>
          <w:kern w:val="44"/>
          <w:sz w:val="21"/>
          <w:szCs w:val="21"/>
          <w:lang w:val="en-US" w:eastAsia="zh-CN"/>
        </w:rPr>
        <w:t>项目</w:t>
      </w:r>
      <w:r>
        <w:rPr>
          <w:rFonts w:hint="default" w:ascii="Times New Roman" w:hAnsi="Times New Roman" w:eastAsia="宋体" w:cs="Times New Roman"/>
          <w:kern w:val="44"/>
          <w:sz w:val="21"/>
          <w:szCs w:val="21"/>
        </w:rPr>
        <w:t>服务说明书》中的约定为准。</w:t>
      </w:r>
    </w:p>
    <w:p>
      <w:pPr>
        <w:keepNext/>
        <w:keepLines/>
        <w:numPr>
          <w:ilvl w:val="1"/>
          <w:numId w:val="5"/>
        </w:numPr>
        <w:spacing w:before="260" w:after="260" w:line="360" w:lineRule="auto"/>
        <w:ind w:left="227"/>
        <w:outlineLvl w:val="1"/>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服务期限</w:t>
      </w:r>
    </w:p>
    <w:p>
      <w:pPr>
        <w:spacing w:line="360" w:lineRule="auto"/>
        <w:ind w:firstLine="482"/>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rPr>
        <w:t>本项目服务期限自合同签订之日起不超过</w:t>
      </w:r>
      <w:r>
        <w:rPr>
          <w:rFonts w:hint="eastAsia" w:ascii="Times New Roman" w:hAnsi="Times New Roman" w:cs="Times New Roman"/>
          <w:kern w:val="44"/>
          <w:sz w:val="21"/>
          <w:szCs w:val="21"/>
          <w:lang w:val="en-US" w:eastAsia="zh-CN"/>
        </w:rPr>
        <w:t>6</w:t>
      </w:r>
      <w:r>
        <w:rPr>
          <w:rFonts w:hint="default" w:ascii="Times New Roman" w:hAnsi="Times New Roman" w:eastAsia="宋体" w:cs="Times New Roman"/>
          <w:kern w:val="44"/>
          <w:sz w:val="21"/>
          <w:szCs w:val="21"/>
        </w:rPr>
        <w:t>个月。</w:t>
      </w:r>
    </w:p>
    <w:p>
      <w:pPr>
        <w:keepNext/>
        <w:keepLines/>
        <w:numPr>
          <w:ilvl w:val="1"/>
          <w:numId w:val="5"/>
        </w:numPr>
        <w:spacing w:before="260" w:after="260" w:line="360" w:lineRule="auto"/>
        <w:ind w:left="227"/>
        <w:outlineLvl w:val="1"/>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最终验收</w:t>
      </w:r>
    </w:p>
    <w:p>
      <w:pPr>
        <w:spacing w:line="360" w:lineRule="auto"/>
        <w:ind w:firstLine="420" w:firstLineChars="200"/>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rPr>
        <w:t>2.3.1.验收标准和验收方式以《验收要求》中的约定为准。</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2.3.2.乙方应按本合同约定及时申请验收，甲方应按本合同约定及时组织验收。</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2.3.3.验收活动组织按甲方项目验收管理工作要求执行，乙方应无条件配合甲方的验收工作，并按甲方要求的形式提供相应的验收材料。</w:t>
      </w:r>
    </w:p>
    <w:p>
      <w:pPr>
        <w:keepNext/>
        <w:keepLines/>
        <w:numPr>
          <w:ilvl w:val="0"/>
          <w:numId w:val="5"/>
        </w:numPr>
        <w:spacing w:before="340" w:after="330" w:line="360" w:lineRule="auto"/>
        <w:outlineLvl w:val="0"/>
        <w:rPr>
          <w:rFonts w:hint="default" w:ascii="Times New Roman" w:hAnsi="Times New Roman" w:eastAsia="宋体" w:cs="Times New Roman"/>
          <w:b/>
          <w:bCs/>
          <w:kern w:val="44"/>
          <w:sz w:val="21"/>
          <w:szCs w:val="21"/>
        </w:rPr>
      </w:pPr>
      <w:r>
        <w:rPr>
          <w:rFonts w:hint="default" w:ascii="Times New Roman" w:hAnsi="Times New Roman" w:eastAsia="宋体" w:cs="Times New Roman"/>
          <w:b/>
          <w:bCs/>
          <w:kern w:val="44"/>
          <w:sz w:val="21"/>
          <w:szCs w:val="21"/>
        </w:rPr>
        <w:t>双方权利义务</w:t>
      </w:r>
      <w:bookmarkEnd w:id="9"/>
    </w:p>
    <w:p>
      <w:pPr>
        <w:keepNext/>
        <w:keepLines/>
        <w:numPr>
          <w:ilvl w:val="1"/>
          <w:numId w:val="5"/>
        </w:numPr>
        <w:spacing w:before="260" w:after="260" w:line="360" w:lineRule="auto"/>
        <w:ind w:left="227"/>
        <w:outlineLvl w:val="1"/>
        <w:rPr>
          <w:rFonts w:hint="default" w:ascii="Times New Roman" w:hAnsi="Times New Roman" w:eastAsia="宋体" w:cs="Times New Roman"/>
          <w:b/>
          <w:bCs/>
          <w:sz w:val="21"/>
          <w:szCs w:val="21"/>
        </w:rPr>
      </w:pPr>
      <w:bookmarkStart w:id="10" w:name="_Toc530148363"/>
      <w:r>
        <w:rPr>
          <w:rFonts w:hint="default" w:ascii="Times New Roman" w:hAnsi="Times New Roman" w:eastAsia="宋体" w:cs="Times New Roman"/>
          <w:b/>
          <w:bCs/>
          <w:sz w:val="21"/>
          <w:szCs w:val="21"/>
        </w:rPr>
        <w:t>甲方权利</w:t>
      </w:r>
      <w:bookmarkEnd w:id="10"/>
      <w:r>
        <w:rPr>
          <w:rFonts w:hint="default" w:ascii="Times New Roman" w:hAnsi="Times New Roman" w:eastAsia="宋体" w:cs="Times New Roman"/>
          <w:b/>
          <w:bCs/>
          <w:sz w:val="21"/>
          <w:szCs w:val="21"/>
        </w:rPr>
        <w:t>义务</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3.1.1.乙方因自身原因导致合同无法继续履行，则视为乙方违约，甲方有权单方解除合同，并向乙方追偿</w:t>
      </w:r>
      <w:bookmarkStart w:id="11" w:name="_Hlk11675189"/>
      <w:r>
        <w:rPr>
          <w:rFonts w:hint="default" w:ascii="Times New Roman" w:hAnsi="Times New Roman" w:eastAsia="宋体" w:cs="Times New Roman"/>
          <w:sz w:val="21"/>
          <w:szCs w:val="21"/>
        </w:rPr>
        <w:t>损失</w:t>
      </w:r>
      <w:bookmarkEnd w:id="11"/>
      <w:r>
        <w:rPr>
          <w:rFonts w:hint="default" w:ascii="Times New Roman" w:hAnsi="Times New Roman" w:eastAsia="宋体" w:cs="Times New Roman"/>
          <w:sz w:val="21"/>
          <w:szCs w:val="21"/>
        </w:rPr>
        <w:t>。</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3.1.2.如因乙方原因导致甲方被行政处分或行政处罚，甲方保留向乙方追究法律责任、经济责任的权利。</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3.1.3.甲方有权要求乙方撤换任何不称职的</w:t>
      </w:r>
      <w:r>
        <w:rPr>
          <w:rFonts w:hint="eastAsia" w:ascii="Times New Roman" w:hAnsi="Times New Roman" w:eastAsia="宋体" w:cs="Times New Roman"/>
          <w:sz w:val="21"/>
          <w:szCs w:val="21"/>
          <w:lang w:val="en-US" w:eastAsia="zh-CN"/>
        </w:rPr>
        <w:t>服务</w:t>
      </w:r>
      <w:r>
        <w:rPr>
          <w:rFonts w:hint="default" w:ascii="Times New Roman" w:hAnsi="Times New Roman" w:eastAsia="宋体" w:cs="Times New Roman"/>
          <w:sz w:val="21"/>
          <w:szCs w:val="21"/>
        </w:rPr>
        <w:t>人员，乙方需在甲方要求的时间内完成替换，替换人员须具有与原人员能力相当或更高的资质和能力。</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3.1.4.甲方应依照《</w:t>
      </w:r>
      <w:r>
        <w:rPr>
          <w:rFonts w:hint="default" w:ascii="Times New Roman" w:hAnsi="Times New Roman" w:eastAsia="宋体" w:cs="Times New Roman"/>
          <w:sz w:val="21"/>
          <w:szCs w:val="21"/>
          <w:lang w:eastAsia="zh-CN"/>
        </w:rPr>
        <w:t>项目服务说明书</w:t>
      </w:r>
      <w:r>
        <w:rPr>
          <w:rFonts w:hint="default" w:ascii="Times New Roman" w:hAnsi="Times New Roman" w:eastAsia="宋体" w:cs="Times New Roman"/>
          <w:sz w:val="21"/>
          <w:szCs w:val="21"/>
        </w:rPr>
        <w:t>》中的约定，向乙方提供技术服务所必须的信息、数据、资料，并负责为乙方提供必要的设备、工作场地、后勤设施等。如因甲方未能按时提供工作条件或技术资料，或甲方未及时协调需其他相关方配合的资源，经甲方书面确认后，乙方可顺延</w:t>
      </w:r>
      <w:r>
        <w:rPr>
          <w:rFonts w:hint="eastAsia" w:ascii="Times New Roman" w:hAnsi="Times New Roman" w:eastAsia="宋体" w:cs="Times New Roman"/>
          <w:sz w:val="21"/>
          <w:szCs w:val="21"/>
          <w:lang w:val="en-US" w:eastAsia="zh-CN"/>
        </w:rPr>
        <w:t>服务</w:t>
      </w:r>
      <w:r>
        <w:rPr>
          <w:rFonts w:hint="default" w:ascii="Times New Roman" w:hAnsi="Times New Roman" w:eastAsia="宋体" w:cs="Times New Roman"/>
          <w:sz w:val="21"/>
          <w:szCs w:val="21"/>
        </w:rPr>
        <w:t>工作的完成期限。</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3.1.5.甲方应在项目小组指派一名甲方人员作为项目负责人，负责对乙方服务进行协调、监督，项目负责人应定期向甲方汇报，与乙方项目负责人沟通，并负责本合同项下服务和/或可交付成果物的验收组织工作。如乙方提供的服务达不到甲方要求的，甲方应及时将不符合要求的内容和原因通知乙方。</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3.1.6.甲方应及时组织验收，对乙方提交的符合本合同约定的服务成果进行书面确认。</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3.1.7.按照本合同的约定向乙方支付合同金额。</w:t>
      </w:r>
    </w:p>
    <w:p>
      <w:pPr>
        <w:spacing w:line="360" w:lineRule="auto"/>
        <w:ind w:firstLine="420" w:firstLineChars="200"/>
        <w:rPr>
          <w:rFonts w:hint="default" w:ascii="Times New Roman" w:hAnsi="Times New Roman" w:eastAsia="宋体" w:cs="Times New Roman"/>
          <w:sz w:val="21"/>
          <w:szCs w:val="21"/>
        </w:rPr>
      </w:pPr>
      <w:bookmarkStart w:id="12" w:name="_Hlk12888011"/>
      <w:r>
        <w:rPr>
          <w:rFonts w:hint="default" w:ascii="Times New Roman" w:hAnsi="Times New Roman" w:eastAsia="宋体" w:cs="Times New Roman"/>
          <w:sz w:val="21"/>
          <w:szCs w:val="21"/>
        </w:rPr>
        <w:t>3.1.8.若甲方在其他合同中为本项目指定咨询监理单位，甲方应当将授予咨询监理单位的监理权利及时通知乙方。</w:t>
      </w:r>
    </w:p>
    <w:bookmarkEnd w:id="12"/>
    <w:p>
      <w:pPr>
        <w:autoSpaceDE w:val="0"/>
        <w:autoSpaceDN w:val="0"/>
        <w:adjustRightInd w:val="0"/>
        <w:snapToGrid w:val="0"/>
        <w:spacing w:line="360" w:lineRule="auto"/>
        <w:ind w:right="34"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3.1.9.法律、法规规定的以及本合同项下的其他权利义务。</w:t>
      </w:r>
    </w:p>
    <w:p>
      <w:pPr>
        <w:keepNext/>
        <w:keepLines/>
        <w:numPr>
          <w:ilvl w:val="1"/>
          <w:numId w:val="5"/>
        </w:numPr>
        <w:spacing w:before="260" w:after="260" w:line="360" w:lineRule="auto"/>
        <w:ind w:left="227"/>
        <w:outlineLvl w:val="1"/>
        <w:rPr>
          <w:rFonts w:hint="default" w:ascii="Times New Roman" w:hAnsi="Times New Roman" w:eastAsia="宋体" w:cs="Times New Roman"/>
          <w:b/>
          <w:bCs/>
          <w:sz w:val="21"/>
          <w:szCs w:val="21"/>
        </w:rPr>
      </w:pPr>
      <w:bookmarkStart w:id="13" w:name="_Toc530148365"/>
      <w:r>
        <w:rPr>
          <w:rFonts w:hint="default" w:ascii="Times New Roman" w:hAnsi="Times New Roman" w:eastAsia="宋体" w:cs="Times New Roman"/>
          <w:b/>
          <w:bCs/>
          <w:sz w:val="21"/>
          <w:szCs w:val="21"/>
        </w:rPr>
        <w:t>乙方</w:t>
      </w:r>
      <w:bookmarkEnd w:id="13"/>
      <w:r>
        <w:rPr>
          <w:rFonts w:hint="default" w:ascii="Times New Roman" w:hAnsi="Times New Roman" w:eastAsia="宋体" w:cs="Times New Roman"/>
          <w:b/>
          <w:bCs/>
          <w:sz w:val="21"/>
          <w:szCs w:val="21"/>
        </w:rPr>
        <w:t>权利义务</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3.2.1.要求甲方按本合同的约定支付合同金额的权利。</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3.2.2.如果因不可归责于乙方的原因导致乙方不能履约的，则乙方有权和甲方就有关事宜进行沟通，如经甲方确认确属不可归责于乙方的原因，且乙方已为避免此种情形采取必要的措施，则甲方出具相应的书面文件，确认不得以此作为对乙方考核不达标的依据，并不得追究乙方的违约责任。</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3.2.3.乙方应尽勤勉义务，严格执行项目服务计划，依照《</w:t>
      </w:r>
      <w:r>
        <w:rPr>
          <w:rFonts w:hint="default" w:ascii="Times New Roman" w:hAnsi="Times New Roman" w:eastAsia="宋体" w:cs="Times New Roman"/>
          <w:sz w:val="21"/>
          <w:szCs w:val="21"/>
          <w:lang w:eastAsia="zh-CN"/>
        </w:rPr>
        <w:t>项目服务说明书</w:t>
      </w:r>
      <w:r>
        <w:rPr>
          <w:rFonts w:hint="default" w:ascii="Times New Roman" w:hAnsi="Times New Roman" w:eastAsia="宋体" w:cs="Times New Roman"/>
          <w:sz w:val="21"/>
          <w:szCs w:val="21"/>
        </w:rPr>
        <w:t>》的约定交付服务和/或可交付成果。</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3.2.4.若乙方履行本合同确需甲方配合或协调的，应事先向甲方提出书面说明并清晰、完整地列明甲方需配合的事项及时间要求等内容，经甲方书面同意后，甲方依约定完成配合或协调事项；否则，甲方无须向乙方提供任何配合或协助，乙方亦不能以此为由要求甲方承担任何责任或主张减轻或免除自己任何责任。</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3.2.5.乙方收到甲方提供的资料信息应进行书面签收。对前述资料信息有异议的，应在收到之日起2个工作日内向甲方书面提出，否则视为乙方认可甲方提供的资料信息，乙方不得以甲方未按需提供技术资料为由主张顺延</w:t>
      </w:r>
      <w:r>
        <w:rPr>
          <w:rFonts w:hint="eastAsia" w:ascii="Times New Roman" w:hAnsi="Times New Roman" w:eastAsia="宋体" w:cs="Times New Roman"/>
          <w:sz w:val="21"/>
          <w:szCs w:val="21"/>
          <w:lang w:val="en-US" w:eastAsia="zh-CN"/>
        </w:rPr>
        <w:t>服务</w:t>
      </w:r>
      <w:r>
        <w:rPr>
          <w:rFonts w:hint="default" w:ascii="Times New Roman" w:hAnsi="Times New Roman" w:eastAsia="宋体" w:cs="Times New Roman"/>
          <w:sz w:val="21"/>
          <w:szCs w:val="21"/>
        </w:rPr>
        <w:t>工作的完成期限。未提出书面异议而因资料信息错误或者缺陷等导致的一切后果由乙方自行承担，给甲方造成损失的，乙方应予以赔偿。</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3.2.6.乙方应为本项目配备相关资质和能力与执行项目</w:t>
      </w:r>
      <w:r>
        <w:rPr>
          <w:rFonts w:hint="eastAsia" w:ascii="Times New Roman" w:hAnsi="Times New Roman" w:eastAsia="宋体" w:cs="Times New Roman"/>
          <w:sz w:val="21"/>
          <w:szCs w:val="21"/>
          <w:lang w:val="en-US" w:eastAsia="zh-CN"/>
        </w:rPr>
        <w:t>服务</w:t>
      </w:r>
      <w:r>
        <w:rPr>
          <w:rFonts w:hint="default" w:ascii="Times New Roman" w:hAnsi="Times New Roman" w:eastAsia="宋体" w:cs="Times New Roman"/>
          <w:sz w:val="21"/>
          <w:szCs w:val="21"/>
        </w:rPr>
        <w:t>工作相匹配的</w:t>
      </w:r>
      <w:r>
        <w:rPr>
          <w:rFonts w:hint="eastAsia" w:ascii="Times New Roman" w:hAnsi="Times New Roman" w:eastAsia="宋体" w:cs="Times New Roman"/>
          <w:sz w:val="21"/>
          <w:szCs w:val="21"/>
          <w:lang w:val="en-US" w:eastAsia="zh-CN"/>
        </w:rPr>
        <w:t>服务</w:t>
      </w:r>
      <w:r>
        <w:rPr>
          <w:rFonts w:hint="default" w:ascii="Times New Roman" w:hAnsi="Times New Roman" w:eastAsia="宋体" w:cs="Times New Roman"/>
          <w:sz w:val="21"/>
          <w:szCs w:val="21"/>
        </w:rPr>
        <w:t>人员，驻场人员应遵守甲方各项工作管理要求，接受统一安排。</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3.2.7.未经双方项目负责人书面确认或者甲方书面同意，乙方不得延迟</w:t>
      </w:r>
      <w:r>
        <w:rPr>
          <w:rFonts w:hint="eastAsia" w:ascii="Times New Roman" w:hAnsi="Times New Roman" w:eastAsia="宋体" w:cs="Times New Roman"/>
          <w:sz w:val="21"/>
          <w:szCs w:val="21"/>
          <w:lang w:eastAsia="zh-CN"/>
        </w:rPr>
        <w:t>服务工作</w:t>
      </w:r>
      <w:r>
        <w:rPr>
          <w:rFonts w:hint="default" w:ascii="Times New Roman" w:hAnsi="Times New Roman" w:eastAsia="宋体" w:cs="Times New Roman"/>
          <w:sz w:val="21"/>
          <w:szCs w:val="21"/>
        </w:rPr>
        <w:t>的完成期限或对</w:t>
      </w:r>
      <w:r>
        <w:rPr>
          <w:rFonts w:hint="eastAsia" w:ascii="Times New Roman" w:hAnsi="Times New Roman" w:eastAsia="宋体" w:cs="Times New Roman"/>
          <w:sz w:val="21"/>
          <w:szCs w:val="21"/>
          <w:lang w:eastAsia="zh-CN"/>
        </w:rPr>
        <w:t>服务工作</w:t>
      </w:r>
      <w:r>
        <w:rPr>
          <w:rFonts w:hint="default" w:ascii="Times New Roman" w:hAnsi="Times New Roman" w:eastAsia="宋体" w:cs="Times New Roman"/>
          <w:sz w:val="21"/>
          <w:szCs w:val="21"/>
        </w:rPr>
        <w:t>进行内容上的变更。如果乙方在提供技术服务的过程中发现影响计划执行的不利因素的，乙方应及时以书面形式通报给甲方。</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3.2.8.甲方告知不符合服务要求的内容和原因后，乙方应在甲方指定期限内完成整改。</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3.2.9.乙方应及时参加甲方组织的例会、专题会议等。</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3.2.10.如政府审计部门或政府审计部门委托的第三方审计单位需对涉及本合同的事项进行审计时，乙方应按照政府审计有关法律法规和政策要求，支持、协助审计部门或其委托的跟踪审计单位开展工作。</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3.2.11.乙方应保证所提供的产品或服务没有侵害任何第三方的知识产权或其他正当权益。如有第三方指控甲方接受乙方提供的产品或服务侵犯了该方的知识产权或其他合法权利，乙方应自费就上述指控为甲方辩护或进行妥善处理，并承担给甲方及第三方造成的一切损失（包括但不限于赔偿金、律师费、诉讼费等）。如乙方不为甲方辩护或不进行妥善处理，甲方可自行处理，甲方与第三方达成的和解协议或法院</w:t>
      </w:r>
      <w:bookmarkStart w:id="14" w:name="_Hlk11675528"/>
      <w:r>
        <w:rPr>
          <w:rFonts w:hint="default" w:ascii="Times New Roman" w:hAnsi="Times New Roman" w:eastAsia="宋体" w:cs="Times New Roman"/>
          <w:sz w:val="21"/>
          <w:szCs w:val="21"/>
        </w:rPr>
        <w:t>、仲裁机构作出的生效法律文书确定</w:t>
      </w:r>
      <w:bookmarkEnd w:id="14"/>
      <w:r>
        <w:rPr>
          <w:rFonts w:hint="default" w:ascii="Times New Roman" w:hAnsi="Times New Roman" w:eastAsia="宋体" w:cs="Times New Roman"/>
          <w:sz w:val="21"/>
          <w:szCs w:val="21"/>
        </w:rPr>
        <w:t>由甲方承担的责任，及甲方自行处理所支出的费用（包括但不限于律师费、案件受理费、执行费、差旅费等）由乙方承担。</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3.2.12.乙方不得将本合同项下的权利或义务转让，或将本合同项下的服务转包或分包。</w:t>
      </w:r>
    </w:p>
    <w:p>
      <w:pPr>
        <w:spacing w:line="360" w:lineRule="auto"/>
        <w:ind w:firstLine="420" w:firstLineChars="200"/>
        <w:rPr>
          <w:rFonts w:hint="default" w:ascii="Times New Roman" w:hAnsi="Times New Roman" w:eastAsia="宋体" w:cs="Times New Roman"/>
          <w:sz w:val="21"/>
          <w:szCs w:val="21"/>
        </w:rPr>
      </w:pPr>
      <w:bookmarkStart w:id="15" w:name="_Hlk12888046"/>
      <w:r>
        <w:rPr>
          <w:rFonts w:hint="default" w:ascii="Times New Roman" w:hAnsi="Times New Roman" w:eastAsia="宋体" w:cs="Times New Roman"/>
          <w:sz w:val="21"/>
          <w:szCs w:val="21"/>
        </w:rPr>
        <w:t>3.2.13.若甲方在其他合同中为本项目指定咨询监理单位，乙方应无条件接受甲方或甲方指定的咨询监理单位的统一管理和监督检查，并按要求完成相关配合工作。</w:t>
      </w:r>
    </w:p>
    <w:bookmarkEnd w:id="15"/>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3.2.14.乙方应对其履行本合同所雇佣、安排的全部人员的安全事故承担责任。由于乙方或乙方人员原因在甲方办公场所内及其毗邻造成的第三者人身伤亡和财产损失，由乙方负责赔偿。</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3.2.15.法律、法规规定的以及本合同项下的其他权利义务。</w:t>
      </w:r>
    </w:p>
    <w:p>
      <w:pPr>
        <w:keepNext/>
        <w:keepLines/>
        <w:numPr>
          <w:ilvl w:val="0"/>
          <w:numId w:val="5"/>
        </w:numPr>
        <w:spacing w:before="340" w:after="330" w:line="360" w:lineRule="auto"/>
        <w:outlineLvl w:val="0"/>
        <w:rPr>
          <w:rFonts w:hint="default" w:ascii="Times New Roman" w:hAnsi="Times New Roman" w:eastAsia="宋体" w:cs="Times New Roman"/>
          <w:b/>
          <w:bCs/>
          <w:kern w:val="44"/>
          <w:sz w:val="21"/>
          <w:szCs w:val="21"/>
        </w:rPr>
      </w:pPr>
      <w:bookmarkStart w:id="16" w:name="_Toc530148466"/>
      <w:r>
        <w:rPr>
          <w:rFonts w:hint="default" w:ascii="Times New Roman" w:hAnsi="Times New Roman" w:eastAsia="宋体" w:cs="Times New Roman"/>
          <w:b/>
          <w:bCs/>
          <w:kern w:val="44"/>
          <w:sz w:val="21"/>
          <w:szCs w:val="21"/>
        </w:rPr>
        <w:t>合同金额与结算方式</w:t>
      </w:r>
      <w:bookmarkEnd w:id="16"/>
    </w:p>
    <w:p>
      <w:pPr>
        <w:keepNext/>
        <w:keepLines/>
        <w:numPr>
          <w:ilvl w:val="1"/>
          <w:numId w:val="5"/>
        </w:numPr>
        <w:spacing w:before="260" w:after="260" w:line="360" w:lineRule="auto"/>
        <w:ind w:left="227"/>
        <w:outlineLvl w:val="1"/>
        <w:rPr>
          <w:rFonts w:hint="default" w:ascii="Times New Roman" w:hAnsi="Times New Roman" w:eastAsia="宋体" w:cs="Times New Roman"/>
          <w:b/>
          <w:bCs/>
          <w:sz w:val="21"/>
          <w:szCs w:val="21"/>
        </w:rPr>
      </w:pPr>
      <w:bookmarkStart w:id="17" w:name="_Toc530148467"/>
      <w:r>
        <w:rPr>
          <w:rFonts w:hint="default" w:ascii="Times New Roman" w:hAnsi="Times New Roman" w:eastAsia="宋体" w:cs="Times New Roman"/>
          <w:b/>
          <w:bCs/>
          <w:sz w:val="21"/>
          <w:szCs w:val="21"/>
        </w:rPr>
        <w:t>合同金额</w:t>
      </w:r>
      <w:bookmarkEnd w:id="17"/>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合同总金额为（大写 </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）：人民币元整（¥</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元），本合同总金额为乙方按照合同约定完成合同全部义务后所适用的含税总价格。</w:t>
      </w:r>
    </w:p>
    <w:p>
      <w:pPr>
        <w:keepNext/>
        <w:keepLines/>
        <w:numPr>
          <w:ilvl w:val="1"/>
          <w:numId w:val="5"/>
        </w:numPr>
        <w:spacing w:before="260" w:after="260" w:line="360" w:lineRule="auto"/>
        <w:ind w:left="227"/>
        <w:outlineLvl w:val="1"/>
        <w:rPr>
          <w:rFonts w:hint="default" w:ascii="Times New Roman" w:hAnsi="Times New Roman" w:eastAsia="宋体" w:cs="Times New Roman"/>
          <w:b/>
          <w:bCs/>
          <w:sz w:val="21"/>
          <w:szCs w:val="21"/>
        </w:rPr>
      </w:pPr>
      <w:bookmarkStart w:id="18" w:name="_Toc530148468"/>
      <w:r>
        <w:rPr>
          <w:rFonts w:hint="default" w:ascii="Times New Roman" w:hAnsi="Times New Roman" w:eastAsia="宋体" w:cs="Times New Roman"/>
          <w:b/>
          <w:bCs/>
          <w:sz w:val="21"/>
          <w:szCs w:val="21"/>
        </w:rPr>
        <w:t>费用结算方式</w:t>
      </w:r>
      <w:bookmarkEnd w:id="18"/>
    </w:p>
    <w:p>
      <w:pPr>
        <w:spacing w:line="360" w:lineRule="auto"/>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4.2.1.合同款由甲方分期支付给乙方，原则上合同约定的资金支付条件与验收成果挂钩，选择分期支付</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具体如下：</w:t>
      </w:r>
    </w:p>
    <w:p>
      <w:pPr>
        <w:spacing w:line="360" w:lineRule="auto"/>
        <w:ind w:firstLine="424" w:firstLineChars="20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a.首期款：签订合同后</w:t>
      </w:r>
      <w:r>
        <w:rPr>
          <w:rFonts w:hint="default" w:ascii="Times New Roman" w:hAnsi="Times New Roman" w:eastAsia="宋体" w:cs="Times New Roman"/>
          <w:sz w:val="21"/>
          <w:szCs w:val="21"/>
          <w:u w:val="single"/>
          <w:lang w:val="en-US" w:eastAsia="zh-CN"/>
        </w:rPr>
        <w:t xml:space="preserve"> </w:t>
      </w:r>
      <w:r>
        <w:rPr>
          <w:rFonts w:hint="eastAsia" w:ascii="Times New Roman" w:hAnsi="Times New Roman" w:cs="Times New Roman"/>
          <w:sz w:val="21"/>
          <w:szCs w:val="21"/>
          <w:u w:val="single"/>
          <w:lang w:val="en-US" w:eastAsia="zh-CN"/>
        </w:rPr>
        <w:t>1</w:t>
      </w:r>
      <w:r>
        <w:rPr>
          <w:rFonts w:hint="default" w:ascii="Times New Roman" w:hAnsi="Times New Roman" w:eastAsia="宋体" w:cs="Times New Roman"/>
          <w:sz w:val="21"/>
          <w:szCs w:val="21"/>
          <w:u w:val="single"/>
          <w:lang w:val="en-US" w:eastAsia="zh-CN"/>
        </w:rPr>
        <w:t xml:space="preserve">5 </w:t>
      </w:r>
      <w:r>
        <w:rPr>
          <w:rFonts w:hint="default" w:ascii="Times New Roman" w:hAnsi="Times New Roman" w:eastAsia="宋体" w:cs="Times New Roman"/>
          <w:sz w:val="21"/>
          <w:szCs w:val="21"/>
        </w:rPr>
        <w:t>个工作日内，乙方书面提出支付申请函及与拟支付金额等额的符合甲方财务管理要求的相应发票，甲方确认后启动首期款支付流程，支付约占合同总金额的</w:t>
      </w:r>
      <w:r>
        <w:rPr>
          <w:rFonts w:hint="eastAsia" w:ascii="Times New Roman" w:hAnsi="Times New Roman" w:cs="Times New Roman"/>
          <w:sz w:val="21"/>
          <w:szCs w:val="21"/>
          <w:u w:val="single"/>
          <w:lang w:val="en-US" w:eastAsia="zh-CN"/>
        </w:rPr>
        <w:t>6</w:t>
      </w:r>
      <w:r>
        <w:rPr>
          <w:rFonts w:hint="default" w:ascii="Times New Roman" w:hAnsi="Times New Roman" w:eastAsia="宋体" w:cs="Times New Roman"/>
          <w:sz w:val="21"/>
          <w:szCs w:val="21"/>
          <w:u w:val="single"/>
        </w:rPr>
        <w:t>0%</w:t>
      </w:r>
      <w:r>
        <w:rPr>
          <w:rFonts w:hint="default" w:ascii="Times New Roman" w:hAnsi="Times New Roman" w:eastAsia="宋体" w:cs="Times New Roman"/>
          <w:sz w:val="21"/>
          <w:szCs w:val="21"/>
        </w:rPr>
        <w:t>。</w:t>
      </w:r>
    </w:p>
    <w:p>
      <w:pPr>
        <w:spacing w:line="360" w:lineRule="auto"/>
        <w:ind w:firstLine="424" w:firstLineChars="20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b.尾款：本项目经甲方验收通过后</w:t>
      </w:r>
      <w:r>
        <w:rPr>
          <w:rFonts w:hint="eastAsia" w:ascii="Times New Roman" w:hAnsi="Times New Roman" w:cs="Times New Roman"/>
          <w:sz w:val="21"/>
          <w:szCs w:val="21"/>
          <w:u w:val="single"/>
          <w:lang w:val="en-US" w:eastAsia="zh-CN"/>
        </w:rPr>
        <w:t xml:space="preserve"> 1</w:t>
      </w:r>
      <w:r>
        <w:rPr>
          <w:rFonts w:hint="default" w:ascii="Times New Roman" w:hAnsi="Times New Roman" w:eastAsia="宋体" w:cs="Times New Roman"/>
          <w:sz w:val="21"/>
          <w:szCs w:val="21"/>
          <w:u w:val="single"/>
          <w:lang w:val="en-US" w:eastAsia="zh-CN"/>
        </w:rPr>
        <w:t xml:space="preserve"> 5 </w:t>
      </w:r>
      <w:r>
        <w:rPr>
          <w:rFonts w:hint="default" w:ascii="Times New Roman" w:hAnsi="Times New Roman" w:eastAsia="宋体" w:cs="Times New Roman"/>
          <w:sz w:val="21"/>
          <w:szCs w:val="21"/>
        </w:rPr>
        <w:t>个工作日内，乙方书面提出支付申请函及与拟支付金额等额的符合甲方财务管理要求的相应发票，甲方确认后启动合同剩余款项支付流程</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支付约占合同总金额的</w:t>
      </w:r>
      <w:r>
        <w:rPr>
          <w:rFonts w:hint="eastAsia" w:ascii="Times New Roman" w:hAnsi="Times New Roman" w:cs="Times New Roman"/>
          <w:sz w:val="21"/>
          <w:szCs w:val="21"/>
          <w:u w:val="single"/>
          <w:lang w:val="en-US" w:eastAsia="zh-CN"/>
        </w:rPr>
        <w:t>,4</w:t>
      </w:r>
      <w:r>
        <w:rPr>
          <w:rFonts w:hint="default" w:ascii="Times New Roman" w:hAnsi="Times New Roman" w:eastAsia="宋体" w:cs="Times New Roman"/>
          <w:sz w:val="21"/>
          <w:szCs w:val="21"/>
          <w:u w:val="single"/>
        </w:rPr>
        <w:t>0%</w:t>
      </w:r>
      <w:r>
        <w:rPr>
          <w:rFonts w:hint="default" w:ascii="Times New Roman" w:hAnsi="Times New Roman" w:eastAsia="宋体" w:cs="Times New Roman"/>
          <w:sz w:val="21"/>
          <w:szCs w:val="21"/>
        </w:rPr>
        <w:t>。</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4.2.2.对于满足合同约定支付条件的，甲方应当自收到发票后30日内将资金支付到合同约定的乙方账户，不得以机构变动、人员更替、政策调整等为由延迟付款，不得将采购文件和合同中未规定的义务作为向乙方付款的条件。</w:t>
      </w:r>
    </w:p>
    <w:p>
      <w:pPr>
        <w:keepNext/>
        <w:keepLines/>
        <w:numPr>
          <w:ilvl w:val="1"/>
          <w:numId w:val="5"/>
        </w:numPr>
        <w:spacing w:before="260" w:after="260" w:line="360" w:lineRule="auto"/>
        <w:ind w:left="227"/>
        <w:outlineLvl w:val="1"/>
        <w:rPr>
          <w:rFonts w:hint="default" w:ascii="Times New Roman" w:hAnsi="Times New Roman" w:eastAsia="宋体" w:cs="Times New Roman"/>
          <w:b/>
          <w:bCs/>
          <w:sz w:val="21"/>
          <w:szCs w:val="21"/>
        </w:rPr>
      </w:pPr>
      <w:bookmarkStart w:id="19" w:name="_Toc530148469"/>
      <w:r>
        <w:rPr>
          <w:rFonts w:hint="default" w:ascii="Times New Roman" w:hAnsi="Times New Roman" w:eastAsia="宋体" w:cs="Times New Roman"/>
          <w:b/>
          <w:bCs/>
          <w:sz w:val="21"/>
          <w:szCs w:val="21"/>
        </w:rPr>
        <w:t>乙方账号信息</w:t>
      </w:r>
      <w:bookmarkEnd w:id="19"/>
    </w:p>
    <w:p>
      <w:pPr>
        <w:spacing w:line="360" w:lineRule="auto"/>
        <w:ind w:firstLine="420"/>
        <w:rPr>
          <w:rFonts w:hint="default" w:ascii="Times New Roman" w:hAnsi="Times New Roman" w:eastAsia="宋体" w:cs="Times New Roman"/>
          <w:sz w:val="21"/>
          <w:szCs w:val="21"/>
          <w:u w:val="single"/>
          <w:lang w:val="en-US" w:eastAsia="zh-CN"/>
        </w:rPr>
      </w:pPr>
      <w:r>
        <w:rPr>
          <w:rFonts w:hint="default" w:ascii="Times New Roman" w:hAnsi="Times New Roman" w:eastAsia="宋体" w:cs="Times New Roman"/>
          <w:sz w:val="21"/>
          <w:szCs w:val="21"/>
        </w:rPr>
        <w:t>开户名称：</w:t>
      </w:r>
      <w:r>
        <w:rPr>
          <w:rFonts w:hint="default" w:ascii="Times New Roman" w:hAnsi="Times New Roman" w:eastAsia="宋体" w:cs="Times New Roman"/>
          <w:sz w:val="21"/>
          <w:szCs w:val="21"/>
          <w:u w:val="single"/>
          <w:lang w:val="en-US" w:eastAsia="zh-CN"/>
        </w:rPr>
        <w:t xml:space="preserve">                        </w:t>
      </w:r>
    </w:p>
    <w:p>
      <w:pPr>
        <w:spacing w:line="360" w:lineRule="auto"/>
        <w:ind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开户银行：</w:t>
      </w:r>
      <w:r>
        <w:rPr>
          <w:rFonts w:hint="default" w:ascii="Times New Roman" w:hAnsi="Times New Roman" w:eastAsia="宋体" w:cs="Times New Roman"/>
          <w:sz w:val="21"/>
          <w:szCs w:val="21"/>
          <w:u w:val="single"/>
          <w:lang w:val="en-US" w:eastAsia="zh-CN"/>
        </w:rPr>
        <w:t xml:space="preserve">                        </w:t>
      </w:r>
    </w:p>
    <w:p>
      <w:pPr>
        <w:spacing w:line="360" w:lineRule="auto"/>
        <w:ind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银行账号：</w:t>
      </w:r>
      <w:r>
        <w:rPr>
          <w:rFonts w:hint="default" w:ascii="Times New Roman" w:hAnsi="Times New Roman" w:eastAsia="宋体" w:cs="Times New Roman"/>
          <w:sz w:val="21"/>
          <w:szCs w:val="21"/>
          <w:u w:val="single"/>
          <w:lang w:val="en-US" w:eastAsia="zh-CN"/>
        </w:rPr>
        <w:t xml:space="preserve">                        </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甲方向上述账户汇出款项后，即视为甲方已履行付款义务，在汇款过程中因乙方账户原因（包括但不限于账号被注销、被冻结等）导致其无法收取款项的，由乙方承担相应后果。甲方有权直接在应付款项中扣除乙方应承担的违约金或赔偿金等对应款项。</w:t>
      </w:r>
    </w:p>
    <w:p>
      <w:pPr>
        <w:keepNext/>
        <w:keepLines/>
        <w:numPr>
          <w:ilvl w:val="1"/>
          <w:numId w:val="5"/>
        </w:numPr>
        <w:spacing w:before="260" w:after="260" w:line="360" w:lineRule="auto"/>
        <w:ind w:left="227"/>
        <w:outlineLvl w:val="1"/>
        <w:rPr>
          <w:rFonts w:hint="default" w:ascii="Times New Roman" w:hAnsi="Times New Roman" w:eastAsia="宋体" w:cs="Times New Roman"/>
          <w:b/>
          <w:bCs/>
          <w:sz w:val="21"/>
          <w:szCs w:val="21"/>
        </w:rPr>
      </w:pPr>
      <w:bookmarkStart w:id="20" w:name="_Toc530148470"/>
      <w:r>
        <w:rPr>
          <w:rFonts w:hint="default" w:ascii="Times New Roman" w:hAnsi="Times New Roman" w:eastAsia="宋体" w:cs="Times New Roman"/>
          <w:b/>
          <w:bCs/>
          <w:sz w:val="21"/>
          <w:szCs w:val="21"/>
        </w:rPr>
        <w:t>其他</w:t>
      </w:r>
      <w:bookmarkEnd w:id="20"/>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除本合同明确约定的费用外，甲方无需对乙方支付任何额外费用和承担任何额外义务。在实际合同履行过程中，如果乙方未完全履行合同义务或履行的合同义务不符合约定的，则未履行或履行不符合合同约定的内容所对应的价款由甲方直接从上述约定的合同金额中扣除。</w:t>
      </w:r>
    </w:p>
    <w:p>
      <w:pPr>
        <w:keepNext/>
        <w:keepLines/>
        <w:numPr>
          <w:ilvl w:val="0"/>
          <w:numId w:val="5"/>
        </w:numPr>
        <w:spacing w:before="340" w:after="330" w:line="360" w:lineRule="auto"/>
        <w:outlineLvl w:val="0"/>
        <w:rPr>
          <w:rFonts w:hint="default" w:ascii="Times New Roman" w:hAnsi="Times New Roman" w:eastAsia="宋体" w:cs="Times New Roman"/>
          <w:b/>
          <w:bCs/>
          <w:kern w:val="44"/>
          <w:sz w:val="21"/>
          <w:szCs w:val="21"/>
        </w:rPr>
      </w:pPr>
      <w:bookmarkStart w:id="21" w:name="_Toc530148471"/>
      <w:r>
        <w:rPr>
          <w:rFonts w:hint="default" w:ascii="Times New Roman" w:hAnsi="Times New Roman" w:eastAsia="宋体" w:cs="Times New Roman"/>
          <w:b/>
          <w:bCs/>
          <w:kern w:val="44"/>
          <w:sz w:val="21"/>
          <w:szCs w:val="21"/>
        </w:rPr>
        <w:t>保密</w:t>
      </w:r>
    </w:p>
    <w:p>
      <w:pPr>
        <w:keepNext/>
        <w:keepLines/>
        <w:numPr>
          <w:ilvl w:val="1"/>
          <w:numId w:val="5"/>
        </w:numPr>
        <w:spacing w:before="260" w:after="260" w:line="360" w:lineRule="auto"/>
        <w:ind w:left="227"/>
        <w:outlineLvl w:val="1"/>
        <w:rPr>
          <w:rFonts w:hint="default" w:ascii="Times New Roman" w:hAnsi="Times New Roman" w:eastAsia="宋体" w:cs="Times New Roman"/>
          <w:b/>
          <w:bCs/>
          <w:sz w:val="21"/>
          <w:szCs w:val="21"/>
        </w:rPr>
      </w:pPr>
      <w:bookmarkStart w:id="22" w:name="_Hlk8912502"/>
      <w:r>
        <w:rPr>
          <w:rFonts w:hint="default" w:ascii="Times New Roman" w:hAnsi="Times New Roman" w:eastAsia="宋体" w:cs="Times New Roman"/>
          <w:b/>
          <w:bCs/>
          <w:sz w:val="21"/>
          <w:szCs w:val="21"/>
        </w:rPr>
        <w:t>保密信息范围</w:t>
      </w:r>
    </w:p>
    <w:bookmarkEnd w:id="22"/>
    <w:p>
      <w:pPr>
        <w:spacing w:line="360" w:lineRule="auto"/>
        <w:ind w:left="210" w:leftChars="10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5.1.1.在本合同执行过程中乙方接触的甲方所有业务信息（包括但不限于合同、文档、方案、图纸、数据等）。</w:t>
      </w:r>
    </w:p>
    <w:p>
      <w:pPr>
        <w:spacing w:line="360" w:lineRule="auto"/>
        <w:ind w:left="210" w:leftChars="10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5.1.2.在本合同执行过程中接触的政府机关文件（包括但不限于内部发文、各类通知及会议记录等）。</w:t>
      </w:r>
    </w:p>
    <w:p>
      <w:pPr>
        <w:spacing w:line="360" w:lineRule="auto"/>
        <w:ind w:left="210" w:leftChars="10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5.1.3.其他详细保密协议条款内容见附件。</w:t>
      </w:r>
    </w:p>
    <w:p>
      <w:pPr>
        <w:keepNext/>
        <w:keepLines/>
        <w:numPr>
          <w:ilvl w:val="1"/>
          <w:numId w:val="5"/>
        </w:numPr>
        <w:spacing w:before="260" w:after="260" w:line="360" w:lineRule="auto"/>
        <w:ind w:left="227"/>
        <w:outlineLvl w:val="1"/>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保密责任</w:t>
      </w:r>
    </w:p>
    <w:p>
      <w:pPr>
        <w:autoSpaceDE w:val="0"/>
        <w:autoSpaceDN w:val="0"/>
        <w:adjustRightInd w:val="0"/>
        <w:snapToGrid w:val="0"/>
        <w:spacing w:line="360" w:lineRule="auto"/>
        <w:ind w:left="210" w:leftChars="100" w:right="34"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5.2.</w:t>
      </w:r>
      <w:r>
        <w:rPr>
          <w:rFonts w:hint="default" w:ascii="Times New Roman" w:hAnsi="Times New Roman" w:eastAsia="宋体" w:cs="Times New Roman"/>
          <w:kern w:val="0"/>
          <w:sz w:val="21"/>
          <w:szCs w:val="21"/>
        </w:rPr>
        <w:t>1.乙方对其因身份、职务、职业或技术关系而知悉的甲方商业秘密和党政机关保密信息应严格保守，保证不被披露或使用，包括意外或过失。</w:t>
      </w:r>
    </w:p>
    <w:p>
      <w:pPr>
        <w:autoSpaceDE w:val="0"/>
        <w:autoSpaceDN w:val="0"/>
        <w:adjustRightInd w:val="0"/>
        <w:snapToGrid w:val="0"/>
        <w:spacing w:line="360" w:lineRule="auto"/>
        <w:ind w:left="210" w:leftChars="100" w:right="34"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5.2.</w:t>
      </w:r>
      <w:r>
        <w:rPr>
          <w:rFonts w:hint="default" w:ascii="Times New Roman" w:hAnsi="Times New Roman" w:eastAsia="宋体" w:cs="Times New Roman"/>
          <w:kern w:val="0"/>
          <w:sz w:val="21"/>
          <w:szCs w:val="21"/>
        </w:rPr>
        <w:t>2.乙方不得以竞争为目的、或出于私利、或为第三人谋利而擅自保存、复制、披露、使用甲方商业秘密和党政机关保密信息；不得直接或间接地向无关人员泄露甲方的商业秘密和党政机关保密信息；不得向不承担保密义务的任何第三人披露甲方的商业秘密和党政机关保密信息。由此造成甲方损失的，乙方应负责赔偿。</w:t>
      </w:r>
    </w:p>
    <w:p>
      <w:pPr>
        <w:autoSpaceDE w:val="0"/>
        <w:autoSpaceDN w:val="0"/>
        <w:adjustRightInd w:val="0"/>
        <w:snapToGrid w:val="0"/>
        <w:spacing w:line="360" w:lineRule="auto"/>
        <w:ind w:left="210" w:leftChars="100" w:right="34"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5.2.</w:t>
      </w:r>
      <w:r>
        <w:rPr>
          <w:rFonts w:hint="default" w:ascii="Times New Roman" w:hAnsi="Times New Roman" w:eastAsia="宋体" w:cs="Times New Roman"/>
          <w:kern w:val="0"/>
          <w:sz w:val="21"/>
          <w:szCs w:val="21"/>
        </w:rPr>
        <w:t>3.乙方在从事政府项目时，不得擅自记录、复制、拍摄、摘抄、收藏在工作中涉及的保密信息，严禁将涉及政府项目的任何资料、数据透露或以其他方式提供给本项目以外的其他方或乙方内部与本项目无关的任何人员。由此造成甲方损失的，乙方应负责赔偿。</w:t>
      </w:r>
    </w:p>
    <w:p>
      <w:pPr>
        <w:autoSpaceDE w:val="0"/>
        <w:autoSpaceDN w:val="0"/>
        <w:adjustRightInd w:val="0"/>
        <w:snapToGrid w:val="0"/>
        <w:spacing w:line="360" w:lineRule="auto"/>
        <w:ind w:left="210" w:leftChars="100" w:right="34"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5.2.</w:t>
      </w:r>
      <w:r>
        <w:rPr>
          <w:rFonts w:hint="default" w:ascii="Times New Roman" w:hAnsi="Times New Roman" w:eastAsia="宋体" w:cs="Times New Roman"/>
          <w:kern w:val="0"/>
          <w:sz w:val="21"/>
          <w:szCs w:val="21"/>
        </w:rPr>
        <w:t xml:space="preserve">4.乙方对于工作期间知悉甲方的商业秘密和党政机关保密信息（包括业务信息在内）或工作过程中接触到的政府机关文件（包括内部发文、各类通知及会议记录等）的内容，同样承担保密责任，严禁将政府机关内部会议、谈话内容泄露给无关人员；不得翻阅与工作无关的文件和资料。乙方应当在完成委托事项或本合同终止或解除时将资料原件全部返还甲方，并销毁所有复制件。 </w:t>
      </w:r>
    </w:p>
    <w:p>
      <w:pPr>
        <w:autoSpaceDE w:val="0"/>
        <w:autoSpaceDN w:val="0"/>
        <w:adjustRightInd w:val="0"/>
        <w:snapToGrid w:val="0"/>
        <w:spacing w:line="360" w:lineRule="auto"/>
        <w:ind w:left="210" w:leftChars="100" w:right="34"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5.2.</w:t>
      </w:r>
      <w:r>
        <w:rPr>
          <w:rFonts w:hint="default" w:ascii="Times New Roman" w:hAnsi="Times New Roman" w:eastAsia="宋体" w:cs="Times New Roman"/>
          <w:kern w:val="0"/>
          <w:sz w:val="21"/>
          <w:szCs w:val="21"/>
        </w:rPr>
        <w:t xml:space="preserve">5.严禁泄露在工作中接触到的政府机关科技研究、发明、装备器材及其技术资料和政府工作信息。 </w:t>
      </w:r>
    </w:p>
    <w:p>
      <w:pPr>
        <w:autoSpaceDE w:val="0"/>
        <w:autoSpaceDN w:val="0"/>
        <w:adjustRightInd w:val="0"/>
        <w:snapToGrid w:val="0"/>
        <w:spacing w:line="360" w:lineRule="auto"/>
        <w:ind w:left="210" w:leftChars="100" w:right="34"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5.2.</w:t>
      </w:r>
      <w:r>
        <w:rPr>
          <w:rFonts w:hint="default" w:ascii="Times New Roman" w:hAnsi="Times New Roman" w:eastAsia="宋体" w:cs="Times New Roman"/>
          <w:kern w:val="0"/>
          <w:sz w:val="21"/>
          <w:szCs w:val="21"/>
        </w:rPr>
        <w:t>6.未经甲方书面同意，乙方不得带领无关人员进入甲方办公场所，若从事政府项目工作，未经政府机关工作人员允许，不得进入与项目服务无关的政府机关其他办公场所。</w:t>
      </w:r>
    </w:p>
    <w:p>
      <w:pPr>
        <w:autoSpaceDE w:val="0"/>
        <w:autoSpaceDN w:val="0"/>
        <w:adjustRightInd w:val="0"/>
        <w:snapToGrid w:val="0"/>
        <w:spacing w:line="360" w:lineRule="auto"/>
        <w:ind w:left="210" w:leftChars="100" w:right="34"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5.2.</w:t>
      </w:r>
      <w:r>
        <w:rPr>
          <w:rFonts w:hint="default" w:ascii="Times New Roman" w:hAnsi="Times New Roman" w:eastAsia="宋体" w:cs="Times New Roman"/>
          <w:kern w:val="0"/>
          <w:sz w:val="21"/>
          <w:szCs w:val="21"/>
        </w:rPr>
        <w:t>7.乙方的保密义务延及乙方聘用的员工、工作人员，如因其员工、工作人员导致本合同保密义务的违反或商业秘密的泄露，由乙方承担全部违约责任。</w:t>
      </w:r>
    </w:p>
    <w:p>
      <w:pPr>
        <w:autoSpaceDE w:val="0"/>
        <w:autoSpaceDN w:val="0"/>
        <w:adjustRightInd w:val="0"/>
        <w:snapToGrid w:val="0"/>
        <w:spacing w:line="360" w:lineRule="auto"/>
        <w:ind w:left="210" w:leftChars="100" w:right="34"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5.2.</w:t>
      </w:r>
      <w:r>
        <w:rPr>
          <w:rFonts w:hint="default" w:ascii="Times New Roman" w:hAnsi="Times New Roman" w:eastAsia="宋体" w:cs="Times New Roman"/>
          <w:kern w:val="0"/>
          <w:sz w:val="21"/>
          <w:szCs w:val="21"/>
        </w:rPr>
        <w:t>8.涉及政府机关项目的保密内容可根据政府机关意见，相应增加修改。</w:t>
      </w:r>
    </w:p>
    <w:p>
      <w:pPr>
        <w:keepNext/>
        <w:keepLines/>
        <w:numPr>
          <w:ilvl w:val="1"/>
          <w:numId w:val="5"/>
        </w:numPr>
        <w:spacing w:before="260" w:after="260" w:line="360" w:lineRule="auto"/>
        <w:ind w:left="227"/>
        <w:outlineLvl w:val="1"/>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保密违约责任</w:t>
      </w:r>
    </w:p>
    <w:p>
      <w:pPr>
        <w:autoSpaceDE w:val="0"/>
        <w:autoSpaceDN w:val="0"/>
        <w:adjustRightInd w:val="0"/>
        <w:snapToGrid w:val="0"/>
        <w:spacing w:line="360" w:lineRule="auto"/>
        <w:ind w:left="210" w:leftChars="100" w:right="34"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乙方违反本合同保密条款的，应承担违约责任。如果给甲方造成经济损失，乙方应赔偿甲方的经济损失及承担甲方因此而支出的一切费用（包括但不限于律师费、案件受理费、执行费、差旅费等）；如果因乙方恶意泄露信息资料，给甲方造成严重后果的，除应赔偿甲方的经济损失及承担甲方因此而支出的一切费用外，甲方将通过法律手段追究乙方责任。</w:t>
      </w:r>
    </w:p>
    <w:p>
      <w:pPr>
        <w:keepNext/>
        <w:keepLines/>
        <w:numPr>
          <w:ilvl w:val="0"/>
          <w:numId w:val="5"/>
        </w:numPr>
        <w:spacing w:before="340" w:after="330" w:line="360" w:lineRule="auto"/>
        <w:outlineLvl w:val="0"/>
        <w:rPr>
          <w:rFonts w:hint="default" w:ascii="Times New Roman" w:hAnsi="Times New Roman" w:eastAsia="宋体" w:cs="Times New Roman"/>
          <w:b/>
          <w:bCs/>
          <w:kern w:val="44"/>
          <w:sz w:val="21"/>
          <w:szCs w:val="21"/>
        </w:rPr>
      </w:pPr>
      <w:r>
        <w:rPr>
          <w:rFonts w:hint="default" w:ascii="Times New Roman" w:hAnsi="Times New Roman" w:eastAsia="宋体" w:cs="Times New Roman"/>
          <w:b/>
          <w:bCs/>
          <w:kern w:val="44"/>
          <w:sz w:val="21"/>
          <w:szCs w:val="21"/>
        </w:rPr>
        <w:t>违约赔偿责任</w:t>
      </w:r>
    </w:p>
    <w:p>
      <w:pPr>
        <w:spacing w:line="360" w:lineRule="auto"/>
        <w:ind w:firstLine="420" w:firstLineChars="200"/>
        <w:rPr>
          <w:rFonts w:hint="default" w:ascii="Times New Roman" w:hAnsi="Times New Roman" w:eastAsia="宋体" w:cs="Times New Roman"/>
          <w:sz w:val="21"/>
          <w:szCs w:val="21"/>
        </w:rPr>
      </w:pPr>
      <w:bookmarkStart w:id="23" w:name="_Hlk12883909"/>
      <w:r>
        <w:rPr>
          <w:rFonts w:hint="default" w:ascii="Times New Roman" w:hAnsi="Times New Roman" w:eastAsia="宋体" w:cs="Times New Roman"/>
          <w:sz w:val="21"/>
          <w:szCs w:val="21"/>
        </w:rPr>
        <w:t>6.1.除不可抗力情形外，签订本合同的任一方不履行本合同的任一条款，均视为该方违约。</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6.2.甲方未按照本合同约定，及时足额向乙方支付相应的合同金额，则乙方有权向甲方发出书面催告，如甲方在收到书面催告通知后的日内仍未能支付的，则甲方除应支付应付未付的合同金额外，还应自逾期之日起每日按照未付金额</w:t>
      </w:r>
      <w:r>
        <w:rPr>
          <w:rFonts w:hint="eastAsia" w:ascii="Times New Roman" w:hAnsi="Times New Roman" w:eastAsia="宋体" w:cs="Times New Roman"/>
          <w:sz w:val="21"/>
          <w:szCs w:val="21"/>
          <w:u w:val="single"/>
          <w:lang w:val="en-US" w:eastAsia="zh-CN"/>
        </w:rPr>
        <w:t>5</w:t>
      </w:r>
      <w:r>
        <w:rPr>
          <w:rFonts w:hint="default" w:ascii="Times New Roman" w:hAnsi="Times New Roman" w:eastAsia="宋体" w:cs="Times New Roman"/>
          <w:sz w:val="21"/>
          <w:szCs w:val="21"/>
        </w:rPr>
        <w:t>‰的数额向乙方支付违约金。但因政府财政支付管理流程导致的支付延期，甲方不承担责任。</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6.3.</w:t>
      </w:r>
      <w:bookmarkStart w:id="24" w:name="_Hlk12888348"/>
      <w:r>
        <w:rPr>
          <w:rFonts w:hint="default" w:ascii="Times New Roman" w:hAnsi="Times New Roman" w:eastAsia="宋体" w:cs="Times New Roman"/>
          <w:sz w:val="21"/>
          <w:szCs w:val="21"/>
        </w:rPr>
        <w:t>乙方无正当理由未能够按《</w:t>
      </w:r>
      <w:r>
        <w:rPr>
          <w:rFonts w:hint="default" w:ascii="Times New Roman" w:hAnsi="Times New Roman" w:eastAsia="宋体" w:cs="Times New Roman"/>
          <w:sz w:val="21"/>
          <w:szCs w:val="21"/>
          <w:lang w:eastAsia="zh-CN"/>
        </w:rPr>
        <w:t>项目服务说明书</w:t>
      </w:r>
      <w:r>
        <w:rPr>
          <w:rFonts w:hint="default" w:ascii="Times New Roman" w:hAnsi="Times New Roman" w:eastAsia="宋体" w:cs="Times New Roman"/>
          <w:sz w:val="21"/>
          <w:szCs w:val="21"/>
        </w:rPr>
        <w:t>》的约定交付服务成果的，乙方应从逾期之日起每日按对应服务总价的</w:t>
      </w:r>
      <w:r>
        <w:rPr>
          <w:rFonts w:hint="eastAsia" w:ascii="Times New Roman" w:hAnsi="Times New Roman" w:eastAsia="宋体" w:cs="Times New Roman"/>
          <w:sz w:val="21"/>
          <w:szCs w:val="21"/>
          <w:u w:val="single"/>
          <w:lang w:val="en-US" w:eastAsia="zh-CN"/>
        </w:rPr>
        <w:t>5</w:t>
      </w:r>
      <w:r>
        <w:rPr>
          <w:rFonts w:hint="default" w:ascii="Times New Roman" w:hAnsi="Times New Roman" w:eastAsia="宋体" w:cs="Times New Roman"/>
          <w:sz w:val="21"/>
          <w:szCs w:val="21"/>
        </w:rPr>
        <w:t>‰的数额向甲方支付违约金，并向甲方出具书面文件说明延误原因，承诺加大投入以追赶项目进度。如乙方延误交付符合《</w:t>
      </w:r>
      <w:r>
        <w:rPr>
          <w:rFonts w:hint="default" w:ascii="Times New Roman" w:hAnsi="Times New Roman" w:eastAsia="宋体" w:cs="Times New Roman"/>
          <w:sz w:val="21"/>
          <w:szCs w:val="21"/>
          <w:lang w:eastAsia="zh-CN"/>
        </w:rPr>
        <w:t>项目服务说明书</w:t>
      </w:r>
      <w:r>
        <w:rPr>
          <w:rFonts w:hint="default" w:ascii="Times New Roman" w:hAnsi="Times New Roman" w:eastAsia="宋体" w:cs="Times New Roman"/>
          <w:sz w:val="21"/>
          <w:szCs w:val="21"/>
        </w:rPr>
        <w:t>》约定的服务成果达以上，甲方有权单方解除合同，乙方除应向甲方退还所有已经支付的款项外，还应额外向甲方支付对应服务总价</w:t>
      </w:r>
      <w:r>
        <w:rPr>
          <w:rFonts w:hint="eastAsia" w:ascii="Times New Roman" w:hAnsi="Times New Roman" w:eastAsia="宋体" w:cs="Times New Roman"/>
          <w:sz w:val="21"/>
          <w:szCs w:val="21"/>
          <w:u w:val="single"/>
          <w:lang w:val="en-US" w:eastAsia="zh-CN"/>
        </w:rPr>
        <w:t>3</w:t>
      </w:r>
      <w:r>
        <w:rPr>
          <w:rFonts w:hint="default" w:ascii="Times New Roman" w:hAnsi="Times New Roman" w:eastAsia="宋体" w:cs="Times New Roman"/>
          <w:sz w:val="21"/>
          <w:szCs w:val="21"/>
        </w:rPr>
        <w:t>%的违约金</w:t>
      </w:r>
      <w:bookmarkEnd w:id="24"/>
      <w:r>
        <w:rPr>
          <w:rFonts w:hint="default" w:ascii="Times New Roman" w:hAnsi="Times New Roman" w:eastAsia="宋体" w:cs="Times New Roman"/>
          <w:sz w:val="21"/>
          <w:szCs w:val="21"/>
        </w:rPr>
        <w:t>。</w:t>
      </w:r>
    </w:p>
    <w:p>
      <w:pPr>
        <w:spacing w:line="360" w:lineRule="auto"/>
        <w:ind w:firstLine="420" w:firstLineChars="200"/>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6.4.</w:t>
      </w:r>
      <w:r>
        <w:rPr>
          <w:rFonts w:hint="default" w:ascii="Times New Roman" w:hAnsi="Times New Roman" w:eastAsia="宋体" w:cs="Times New Roman"/>
          <w:kern w:val="0"/>
          <w:sz w:val="21"/>
          <w:szCs w:val="21"/>
        </w:rPr>
        <w:t>乙方服务期限内须严格遵守服务质量承诺及相关管理规定确保服务质量，对于违反服务质量承诺和服务水平约定造成服务质量下降的，乙方应向甲方承担相应的违约责任。</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6.5.乙方交付的产品或服务不能满足甲方书面要求，甲方有权要求乙方整改，并由乙方承担由此产生的费用</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甲方有权解除合同，乙方除向甲方退还对应</w:t>
      </w:r>
      <w:bookmarkStart w:id="25" w:name="_Hlk11677755"/>
      <w:r>
        <w:rPr>
          <w:rFonts w:hint="default" w:ascii="Times New Roman" w:hAnsi="Times New Roman" w:eastAsia="宋体" w:cs="Times New Roman"/>
          <w:sz w:val="21"/>
          <w:szCs w:val="21"/>
        </w:rPr>
        <w:t>产品或服务的合同金额</w:t>
      </w:r>
      <w:bookmarkEnd w:id="25"/>
      <w:r>
        <w:rPr>
          <w:rFonts w:hint="default" w:ascii="Times New Roman" w:hAnsi="Times New Roman" w:eastAsia="宋体" w:cs="Times New Roman"/>
          <w:sz w:val="21"/>
          <w:szCs w:val="21"/>
        </w:rPr>
        <w:t>外，还应额外向甲方支付对应服务总价</w:t>
      </w:r>
      <w:r>
        <w:rPr>
          <w:rFonts w:hint="eastAsia" w:ascii="Times New Roman" w:hAnsi="Times New Roman" w:eastAsia="宋体" w:cs="Times New Roman"/>
          <w:sz w:val="21"/>
          <w:szCs w:val="21"/>
          <w:highlight w:val="none"/>
          <w:u w:val="single"/>
          <w:lang w:val="en-US" w:eastAsia="zh-CN"/>
        </w:rPr>
        <w:t>3</w:t>
      </w:r>
      <w:r>
        <w:rPr>
          <w:rFonts w:hint="default" w:ascii="Times New Roman" w:hAnsi="Times New Roman" w:eastAsia="宋体" w:cs="Times New Roman"/>
          <w:sz w:val="21"/>
          <w:szCs w:val="21"/>
          <w:highlight w:val="none"/>
        </w:rPr>
        <w:t>%</w:t>
      </w:r>
      <w:r>
        <w:rPr>
          <w:rFonts w:hint="default" w:ascii="Times New Roman" w:hAnsi="Times New Roman" w:eastAsia="宋体" w:cs="Times New Roman"/>
          <w:sz w:val="21"/>
          <w:szCs w:val="21"/>
        </w:rPr>
        <w:t>的违约金。</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6.6.甲方支付的违约金总额不超过本合同金额的</w:t>
      </w:r>
      <w:r>
        <w:rPr>
          <w:rFonts w:hint="eastAsia" w:ascii="Times New Roman" w:hAnsi="Times New Roman" w:eastAsia="宋体" w:cs="Times New Roman"/>
          <w:sz w:val="21"/>
          <w:szCs w:val="21"/>
          <w:highlight w:val="none"/>
          <w:u w:val="single"/>
          <w:lang w:val="en-US" w:eastAsia="zh-CN"/>
        </w:rPr>
        <w:t>20</w:t>
      </w:r>
      <w:r>
        <w:rPr>
          <w:rFonts w:hint="default" w:ascii="Times New Roman" w:hAnsi="Times New Roman" w:eastAsia="宋体" w:cs="Times New Roman"/>
          <w:sz w:val="21"/>
          <w:szCs w:val="21"/>
          <w:highlight w:val="none"/>
        </w:rPr>
        <w:t>%</w:t>
      </w:r>
      <w:bookmarkEnd w:id="23"/>
      <w:r>
        <w:rPr>
          <w:rFonts w:hint="default" w:ascii="Times New Roman" w:hAnsi="Times New Roman" w:eastAsia="宋体" w:cs="Times New Roman"/>
          <w:sz w:val="21"/>
          <w:szCs w:val="21"/>
        </w:rPr>
        <w:t>。</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6.7. 对于因甲方原因导致变更、中止或者终止政府采购合同的，甲方对供应商受到的损失予以等价赔偿（补偿）。</w:t>
      </w:r>
    </w:p>
    <w:p>
      <w:pPr>
        <w:spacing w:line="360" w:lineRule="auto"/>
        <w:ind w:firstLine="420" w:firstLineChars="200"/>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6.8.乙</w:t>
      </w:r>
      <w:r>
        <w:rPr>
          <w:rFonts w:hint="default" w:ascii="Times New Roman" w:hAnsi="Times New Roman" w:eastAsia="宋体" w:cs="Times New Roman"/>
          <w:sz w:val="21"/>
          <w:szCs w:val="21"/>
        </w:rPr>
        <w:t>方支付的违约金总额不超过本合同金额的</w:t>
      </w:r>
      <w:r>
        <w:rPr>
          <w:rFonts w:hint="eastAsia" w:ascii="Times New Roman" w:hAnsi="Times New Roman" w:eastAsia="宋体" w:cs="Times New Roman"/>
          <w:sz w:val="21"/>
          <w:szCs w:val="21"/>
          <w:highlight w:val="none"/>
          <w:u w:val="single"/>
          <w:lang w:val="en-US" w:eastAsia="zh-CN"/>
        </w:rPr>
        <w:t>20</w:t>
      </w:r>
      <w:r>
        <w:rPr>
          <w:rFonts w:hint="default" w:ascii="Times New Roman" w:hAnsi="Times New Roman" w:eastAsia="宋体" w:cs="Times New Roman"/>
          <w:sz w:val="21"/>
          <w:szCs w:val="21"/>
          <w:highlight w:val="none"/>
        </w:rPr>
        <w:t>%</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r>
        <w:rPr>
          <w:rFonts w:hint="eastAsia" w:ascii="Times New Roman" w:hAnsi="Times New Roman" w:eastAsia="宋体" w:cs="Times New Roman"/>
          <w:sz w:val="21"/>
          <w:szCs w:val="21"/>
          <w:lang w:val="en-US" w:eastAsia="zh-CN"/>
        </w:rPr>
        <w:t>9</w:t>
      </w:r>
      <w:r>
        <w:rPr>
          <w:rFonts w:hint="default" w:ascii="Times New Roman" w:hAnsi="Times New Roman" w:eastAsia="宋体" w:cs="Times New Roman"/>
          <w:sz w:val="21"/>
          <w:szCs w:val="21"/>
        </w:rPr>
        <w:t>. 其他违约责任按《中华人民共和国合同法》处理。</w:t>
      </w:r>
    </w:p>
    <w:p>
      <w:pPr>
        <w:keepNext/>
        <w:keepLines/>
        <w:numPr>
          <w:ilvl w:val="0"/>
          <w:numId w:val="5"/>
        </w:numPr>
        <w:spacing w:before="340" w:after="330" w:line="360" w:lineRule="auto"/>
        <w:outlineLvl w:val="0"/>
        <w:rPr>
          <w:rFonts w:hint="default" w:ascii="Times New Roman" w:hAnsi="Times New Roman" w:eastAsia="宋体" w:cs="Times New Roman"/>
          <w:b/>
          <w:bCs/>
          <w:kern w:val="44"/>
          <w:sz w:val="21"/>
          <w:szCs w:val="21"/>
        </w:rPr>
      </w:pPr>
      <w:r>
        <w:rPr>
          <w:rFonts w:hint="default" w:ascii="Times New Roman" w:hAnsi="Times New Roman" w:eastAsia="宋体" w:cs="Times New Roman"/>
          <w:b/>
          <w:bCs/>
          <w:kern w:val="44"/>
          <w:sz w:val="21"/>
          <w:szCs w:val="21"/>
        </w:rPr>
        <w:t>争议解决</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7.1.因履行合同所发生的一切争议，双方应友好协商解决，协商不成的，按下列第</w:t>
      </w:r>
      <w:r>
        <w:rPr>
          <w:rFonts w:hint="eastAsia" w:ascii="Times New Roman" w:hAnsi="Times New Roman" w:cs="Times New Roman"/>
          <w:sz w:val="21"/>
          <w:szCs w:val="21"/>
          <w:u w:val="single"/>
          <w:lang w:val="en-US" w:eastAsia="zh-CN"/>
        </w:rPr>
        <w:t>(2)</w:t>
      </w:r>
      <w:r>
        <w:rPr>
          <w:rFonts w:hint="default" w:ascii="Times New Roman" w:hAnsi="Times New Roman" w:eastAsia="宋体" w:cs="Times New Roman"/>
          <w:sz w:val="21"/>
          <w:szCs w:val="21"/>
        </w:rPr>
        <w:t>种方式解决：</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（1）提交中国广州仲裁委员会仲裁，仲裁裁决为终局裁决；</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（2）双方均同意向甲方所在地人民法院提起诉讼，律师代理费用等均由败诉方承担。</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7.2.在仲裁、诉讼进行过程中，双方将继续履行本合同未涉诉的其它部分（合同被解除或终止的除外）。</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7.3.双方对于合同履行期间难以确定过错归属的，可以向双方认可的第三方机构申请鉴定，确认责任。鉴定费用由主张对方存在过错的一方先行垫付，最终由鉴定存在过错的一方承担。</w:t>
      </w:r>
    </w:p>
    <w:p>
      <w:pPr>
        <w:keepNext/>
        <w:keepLines/>
        <w:numPr>
          <w:ilvl w:val="0"/>
          <w:numId w:val="5"/>
        </w:numPr>
        <w:spacing w:before="340" w:after="330" w:line="360" w:lineRule="auto"/>
        <w:outlineLvl w:val="0"/>
        <w:rPr>
          <w:rFonts w:hint="default" w:ascii="Times New Roman" w:hAnsi="Times New Roman" w:eastAsia="宋体" w:cs="Times New Roman"/>
          <w:b/>
          <w:bCs/>
          <w:kern w:val="44"/>
          <w:sz w:val="21"/>
          <w:szCs w:val="21"/>
        </w:rPr>
      </w:pPr>
      <w:r>
        <w:rPr>
          <w:rFonts w:hint="default" w:ascii="Times New Roman" w:hAnsi="Times New Roman" w:eastAsia="宋体" w:cs="Times New Roman"/>
          <w:b/>
          <w:bCs/>
          <w:kern w:val="44"/>
          <w:sz w:val="21"/>
          <w:szCs w:val="21"/>
        </w:rPr>
        <w:t>不可抗力</w:t>
      </w:r>
      <w:bookmarkEnd w:id="21"/>
    </w:p>
    <w:p>
      <w:pPr>
        <w:spacing w:line="360" w:lineRule="auto"/>
        <w:ind w:firstLine="420" w:firstLineChars="200"/>
        <w:rPr>
          <w:rFonts w:hint="default" w:ascii="Times New Roman" w:hAnsi="Times New Roman" w:eastAsia="宋体" w:cs="Times New Roman"/>
          <w:sz w:val="21"/>
          <w:szCs w:val="21"/>
        </w:rPr>
      </w:pPr>
      <w:bookmarkStart w:id="26" w:name="_Toc530148472"/>
      <w:r>
        <w:rPr>
          <w:rFonts w:hint="default" w:ascii="Times New Roman" w:hAnsi="Times New Roman" w:eastAsia="宋体" w:cs="Times New Roman"/>
          <w:sz w:val="21"/>
          <w:szCs w:val="21"/>
        </w:rPr>
        <w:t>8.1.</w:t>
      </w:r>
      <w:bookmarkEnd w:id="26"/>
      <w:r>
        <w:rPr>
          <w:rFonts w:hint="default" w:ascii="Times New Roman" w:hAnsi="Times New Roman" w:eastAsia="宋体" w:cs="Times New Roman"/>
          <w:sz w:val="21"/>
          <w:szCs w:val="21"/>
        </w:rPr>
        <w:t>不可抗力指任何一方无法预见、控制、且经合理努力仍无法避免或克服的、导致其无法履行合同项下的义务的情形，包括但不限于：台风、地震、洪水等自然灾害；战争、罢工、骚乱等社会异常现象；征收征用等政府行为；以及甲乙双方不能合理预见和控制的任何其他客观情形。</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8.2.合同生效后，由上述不可抗力因素造成的乙方服务期延误，则此类延误将被视为不可抗力，乙方不承担违约责任，但必须及时通知甲方。</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8.3.不可抗力因素致使甲方无法继续履行本协议或不能及时提供相应支援而致使项目延误，甲方不承担违约责任，但必须及时通知乙方。</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8.4.在不可抗力事件结束后十个工作日内，受不可抗力影响一方应以挂号或传真的方式将有关部门出具的证明送达至对方，否则对方可不予承认其遭受不可抗力影响，并要求其承担违约责任。</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8.5.如不可抗力事故连续六十天以上时，双方应通过友好协商解决本协议履行的问题。</w:t>
      </w:r>
    </w:p>
    <w:p>
      <w:pPr>
        <w:spacing w:line="360" w:lineRule="auto"/>
        <w:ind w:firstLine="420" w:firstLineChars="200"/>
        <w:rPr>
          <w:rFonts w:hint="default" w:ascii="Times New Roman" w:hAnsi="Times New Roman" w:eastAsia="宋体" w:cs="Times New Roman"/>
          <w:sz w:val="21"/>
          <w:szCs w:val="21"/>
        </w:rPr>
      </w:pPr>
      <w:bookmarkStart w:id="27" w:name="_Toc530148473"/>
      <w:r>
        <w:rPr>
          <w:rFonts w:hint="default" w:ascii="Times New Roman" w:hAnsi="Times New Roman" w:eastAsia="宋体" w:cs="Times New Roman"/>
          <w:sz w:val="21"/>
          <w:szCs w:val="21"/>
        </w:rPr>
        <w:t>8.6.</w:t>
      </w:r>
      <w:bookmarkEnd w:id="27"/>
      <w:r>
        <w:rPr>
          <w:rFonts w:hint="default" w:ascii="Times New Roman" w:hAnsi="Times New Roman" w:eastAsia="宋体" w:cs="Times New Roman"/>
          <w:sz w:val="21"/>
          <w:szCs w:val="21"/>
        </w:rPr>
        <w:t>乙方无权将下述情况视作不可抗力事件而终止、中止履行本合同或不完全履行本合同项下义务：</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（1）乙方的分包商或其他与乙方建立合同关系的第三方在履行合同方面发生延误；</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（2）乙方提供服务的设施发生故障或正常磨损。</w:t>
      </w:r>
    </w:p>
    <w:p>
      <w:pPr>
        <w:spacing w:line="360" w:lineRule="auto"/>
        <w:ind w:firstLine="420" w:firstLineChars="200"/>
        <w:rPr>
          <w:rFonts w:hint="default" w:ascii="Times New Roman" w:hAnsi="Times New Roman" w:eastAsia="宋体" w:cs="Times New Roman"/>
          <w:sz w:val="21"/>
          <w:szCs w:val="21"/>
        </w:rPr>
      </w:pPr>
      <w:bookmarkStart w:id="28" w:name="_Toc530148477"/>
      <w:r>
        <w:rPr>
          <w:rFonts w:hint="default" w:ascii="Times New Roman" w:hAnsi="Times New Roman" w:eastAsia="宋体" w:cs="Times New Roman"/>
          <w:sz w:val="21"/>
          <w:szCs w:val="21"/>
        </w:rPr>
        <w:t>8.7.</w:t>
      </w:r>
      <w:bookmarkEnd w:id="28"/>
      <w:r>
        <w:rPr>
          <w:rFonts w:hint="default" w:ascii="Times New Roman" w:hAnsi="Times New Roman" w:eastAsia="宋体" w:cs="Times New Roman"/>
          <w:sz w:val="21"/>
          <w:szCs w:val="21"/>
        </w:rPr>
        <w:t>甲方无权将下述情况视作不可抗力事件而终止、中止履行或不完全履行本合同项下义务：甲方因机构改革发生变更。</w:t>
      </w:r>
    </w:p>
    <w:p>
      <w:pPr>
        <w:keepNext/>
        <w:keepLines/>
        <w:numPr>
          <w:ilvl w:val="0"/>
          <w:numId w:val="5"/>
        </w:numPr>
        <w:spacing w:before="340" w:after="330" w:line="360" w:lineRule="auto"/>
        <w:outlineLvl w:val="0"/>
        <w:rPr>
          <w:rFonts w:hint="default" w:ascii="Times New Roman" w:hAnsi="Times New Roman" w:eastAsia="宋体" w:cs="Times New Roman"/>
          <w:b/>
          <w:bCs/>
          <w:kern w:val="44"/>
          <w:sz w:val="21"/>
          <w:szCs w:val="21"/>
        </w:rPr>
      </w:pPr>
      <w:bookmarkStart w:id="29" w:name="_Toc530148509"/>
      <w:r>
        <w:rPr>
          <w:rFonts w:hint="default" w:ascii="Times New Roman" w:hAnsi="Times New Roman" w:eastAsia="宋体" w:cs="Times New Roman"/>
          <w:b/>
          <w:bCs/>
          <w:kern w:val="44"/>
          <w:sz w:val="21"/>
          <w:szCs w:val="21"/>
        </w:rPr>
        <w:t>项目资产权属</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9.1.</w:t>
      </w:r>
      <w:bookmarkStart w:id="30" w:name="_Hlk12888133"/>
      <w:r>
        <w:rPr>
          <w:rFonts w:hint="default" w:ascii="Times New Roman" w:hAnsi="Times New Roman" w:eastAsia="宋体" w:cs="Times New Roman"/>
          <w:sz w:val="21"/>
          <w:szCs w:val="21"/>
        </w:rPr>
        <w:t>本合同不会引起任何已申请、登记的知识产权所有权的转移。</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9.2.乙方为履行本合同义务所形成的所有服务成果的知识产权归甲方所有。乙方不得在未征求甲方书面同意的情况下使用或者授权他人使用本合同项下的成果及相关信息，否则相关收益归甲方所有，乙方应另向甲方承担相应责任，并赔偿甲方全部损失。</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9.3.本合同所涉及的数据所有权归政府所有。乙方只能用于履行本合同之义务。</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9.4.乙方提供的相关软件应是自行开发的产品或具备合法、合规授权，满足知识产权、安全等保三级等方面的有关规定和要求。</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9.5.乙方保证向甲方提供的服务成果是其独立实施完成，不存在任何侵犯第三方专利权、商标权、著作权等合法权益的情形。如因乙方提供的服务成果侵犯任何第三方的合法权益，导致该第三方追究甲方责任的，乙方应负责解决并赔偿因此给甲方造成的全部损失</w:t>
      </w:r>
      <w:bookmarkEnd w:id="30"/>
      <w:r>
        <w:rPr>
          <w:rFonts w:hint="default" w:ascii="Times New Roman" w:hAnsi="Times New Roman" w:eastAsia="宋体" w:cs="Times New Roman"/>
          <w:sz w:val="21"/>
          <w:szCs w:val="21"/>
        </w:rPr>
        <w:t>。</w:t>
      </w:r>
    </w:p>
    <w:p>
      <w:pPr>
        <w:keepNext/>
        <w:keepLines/>
        <w:numPr>
          <w:ilvl w:val="0"/>
          <w:numId w:val="5"/>
        </w:numPr>
        <w:spacing w:before="340" w:after="330" w:line="360" w:lineRule="auto"/>
        <w:outlineLvl w:val="0"/>
        <w:rPr>
          <w:rFonts w:hint="default" w:ascii="Times New Roman" w:hAnsi="Times New Roman" w:eastAsia="宋体" w:cs="Times New Roman"/>
          <w:b/>
          <w:bCs/>
          <w:kern w:val="44"/>
          <w:sz w:val="21"/>
          <w:szCs w:val="21"/>
        </w:rPr>
      </w:pPr>
      <w:r>
        <w:rPr>
          <w:rFonts w:hint="default" w:ascii="Times New Roman" w:hAnsi="Times New Roman" w:eastAsia="宋体" w:cs="Times New Roman"/>
          <w:b/>
          <w:bCs/>
          <w:kern w:val="44"/>
          <w:sz w:val="21"/>
          <w:szCs w:val="21"/>
        </w:rPr>
        <w:t>其他约定</w:t>
      </w:r>
      <w:bookmarkEnd w:id="29"/>
    </w:p>
    <w:p>
      <w:pPr>
        <w:keepNext/>
        <w:keepLines/>
        <w:numPr>
          <w:ilvl w:val="1"/>
          <w:numId w:val="5"/>
        </w:numPr>
        <w:spacing w:before="260" w:after="260" w:line="360" w:lineRule="auto"/>
        <w:ind w:left="227"/>
        <w:outlineLvl w:val="1"/>
        <w:rPr>
          <w:rFonts w:hint="default" w:ascii="Times New Roman" w:hAnsi="Times New Roman" w:eastAsia="宋体" w:cs="Times New Roman"/>
          <w:b/>
          <w:bCs/>
          <w:sz w:val="21"/>
          <w:szCs w:val="21"/>
        </w:rPr>
      </w:pPr>
      <w:bookmarkStart w:id="31" w:name="_Toc530148512"/>
      <w:r>
        <w:rPr>
          <w:rFonts w:hint="default" w:ascii="Times New Roman" w:hAnsi="Times New Roman" w:eastAsia="宋体" w:cs="Times New Roman"/>
          <w:b/>
          <w:bCs/>
          <w:sz w:val="21"/>
          <w:szCs w:val="21"/>
        </w:rPr>
        <w:t>合同构成</w:t>
      </w:r>
      <w:bookmarkEnd w:id="31"/>
    </w:p>
    <w:p>
      <w:pPr>
        <w:autoSpaceDE w:val="0"/>
        <w:autoSpaceDN w:val="0"/>
        <w:adjustRightInd w:val="0"/>
        <w:snapToGrid w:val="0"/>
        <w:spacing w:line="360" w:lineRule="auto"/>
        <w:ind w:firstLine="420" w:firstLineChars="200"/>
        <w:jc w:val="left"/>
        <w:rPr>
          <w:rFonts w:hint="default" w:ascii="Times New Roman" w:hAnsi="Times New Roman" w:eastAsia="宋体" w:cs="Times New Roman"/>
          <w:sz w:val="21"/>
          <w:szCs w:val="21"/>
        </w:rPr>
      </w:pPr>
      <w:bookmarkStart w:id="32" w:name="_Hlk12884073"/>
      <w:r>
        <w:rPr>
          <w:rFonts w:hint="default" w:ascii="Times New Roman" w:hAnsi="Times New Roman" w:eastAsia="宋体" w:cs="Times New Roman"/>
          <w:sz w:val="21"/>
          <w:szCs w:val="21"/>
        </w:rPr>
        <w:t>下列文件均为本合同不可分割的组成部分，具有同等法律效力：</w:t>
      </w:r>
    </w:p>
    <w:p>
      <w:pPr>
        <w:autoSpaceDE w:val="0"/>
        <w:autoSpaceDN w:val="0"/>
        <w:adjustRightInd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（1）中标通知书；</w:t>
      </w:r>
    </w:p>
    <w:p>
      <w:pPr>
        <w:autoSpaceDE w:val="0"/>
        <w:autoSpaceDN w:val="0"/>
        <w:adjustRightInd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r>
        <w:rPr>
          <w:rFonts w:hint="default" w:ascii="Times New Roman" w:hAnsi="Times New Roman" w:eastAsia="宋体" w:cs="Times New Roman"/>
          <w:sz w:val="21"/>
          <w:szCs w:val="21"/>
          <w:highlight w:val="none"/>
        </w:rPr>
        <w:t>采购文件</w:t>
      </w:r>
      <w:r>
        <w:rPr>
          <w:rFonts w:hint="default" w:ascii="Times New Roman" w:hAnsi="Times New Roman" w:eastAsia="宋体" w:cs="Times New Roman"/>
          <w:sz w:val="21"/>
          <w:szCs w:val="21"/>
        </w:rPr>
        <w:t>；</w:t>
      </w:r>
    </w:p>
    <w:p>
      <w:pPr>
        <w:autoSpaceDE w:val="0"/>
        <w:autoSpaceDN w:val="0"/>
        <w:adjustRightInd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（3）乙方中标的投标文件；</w:t>
      </w:r>
    </w:p>
    <w:p>
      <w:pPr>
        <w:autoSpaceDE w:val="0"/>
        <w:autoSpaceDN w:val="0"/>
        <w:adjustRightInd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（4）在合同实施过程中双方共同签署的补充协议；</w:t>
      </w:r>
    </w:p>
    <w:p>
      <w:pPr>
        <w:autoSpaceDE w:val="0"/>
        <w:autoSpaceDN w:val="0"/>
        <w:adjustRightInd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（5）附件。</w:t>
      </w:r>
    </w:p>
    <w:p>
      <w:pPr>
        <w:autoSpaceDE w:val="0"/>
        <w:autoSpaceDN w:val="0"/>
        <w:adjustRightInd w:val="0"/>
        <w:snapToGrid w:val="0"/>
        <w:spacing w:line="360" w:lineRule="auto"/>
        <w:ind w:firstLine="420" w:firstLineChars="200"/>
        <w:jc w:val="left"/>
        <w:rPr>
          <w:rFonts w:hint="default" w:ascii="Times New Roman" w:hAnsi="Times New Roman" w:eastAsia="宋体" w:cs="Times New Roman"/>
          <w:sz w:val="21"/>
          <w:szCs w:val="21"/>
        </w:rPr>
      </w:pPr>
      <w:bookmarkStart w:id="33" w:name="_Hlk12887336"/>
      <w:r>
        <w:rPr>
          <w:rFonts w:hint="default" w:ascii="Times New Roman" w:hAnsi="Times New Roman" w:eastAsia="宋体" w:cs="Times New Roman"/>
          <w:sz w:val="21"/>
          <w:szCs w:val="21"/>
        </w:rPr>
        <w:t>上述文件先后解释顺序为：在合同实施过程中双方共同签署的补充协议、本合同书及其附件、中标通知书、采购文件、乙方中标的投标文件。补充协议之间如有冲突，以对乙方要求较高或对甲方更有利的条款为准</w:t>
      </w:r>
      <w:bookmarkEnd w:id="33"/>
      <w:r>
        <w:rPr>
          <w:rFonts w:hint="default" w:ascii="Times New Roman" w:hAnsi="Times New Roman" w:eastAsia="宋体" w:cs="Times New Roman"/>
          <w:sz w:val="21"/>
          <w:szCs w:val="21"/>
        </w:rPr>
        <w:t>。</w:t>
      </w:r>
      <w:bookmarkEnd w:id="32"/>
    </w:p>
    <w:p>
      <w:pPr>
        <w:keepNext/>
        <w:keepLines/>
        <w:numPr>
          <w:ilvl w:val="1"/>
          <w:numId w:val="5"/>
        </w:numPr>
        <w:spacing w:before="260" w:after="260" w:line="360" w:lineRule="auto"/>
        <w:ind w:left="227"/>
        <w:outlineLvl w:val="1"/>
        <w:rPr>
          <w:rFonts w:hint="default" w:ascii="Times New Roman" w:hAnsi="Times New Roman" w:eastAsia="宋体" w:cs="Times New Roman"/>
          <w:b/>
          <w:bCs/>
          <w:sz w:val="21"/>
          <w:szCs w:val="21"/>
        </w:rPr>
      </w:pPr>
      <w:bookmarkStart w:id="34" w:name="_Toc530148513"/>
      <w:r>
        <w:rPr>
          <w:rFonts w:hint="default" w:ascii="Times New Roman" w:hAnsi="Times New Roman" w:eastAsia="宋体" w:cs="Times New Roman"/>
          <w:b/>
          <w:bCs/>
          <w:sz w:val="21"/>
          <w:szCs w:val="21"/>
        </w:rPr>
        <w:t>合同适用法律</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本合同的成立、有效性、解释、履行、签署、修订和终止以及争议的解决适用中华人民共和国法律。</w:t>
      </w:r>
    </w:p>
    <w:p>
      <w:pPr>
        <w:keepNext/>
        <w:keepLines/>
        <w:numPr>
          <w:ilvl w:val="1"/>
          <w:numId w:val="5"/>
        </w:numPr>
        <w:spacing w:before="260" w:after="260" w:line="360" w:lineRule="auto"/>
        <w:ind w:left="227"/>
        <w:outlineLvl w:val="1"/>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合同生效条件</w:t>
      </w:r>
    </w:p>
    <w:p>
      <w:pPr>
        <w:autoSpaceDE w:val="0"/>
        <w:autoSpaceDN w:val="0"/>
        <w:adjustRightInd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本合同经甲乙双方法定代表人或授权委托代理人签字，并盖章后生效。</w:t>
      </w:r>
    </w:p>
    <w:p>
      <w:pPr>
        <w:keepNext/>
        <w:keepLines/>
        <w:numPr>
          <w:ilvl w:val="1"/>
          <w:numId w:val="5"/>
        </w:numPr>
        <w:spacing w:before="260" w:after="260" w:line="360" w:lineRule="auto"/>
        <w:ind w:left="227"/>
        <w:outlineLvl w:val="1"/>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合同变更与修订</w:t>
      </w:r>
      <w:bookmarkEnd w:id="34"/>
    </w:p>
    <w:p>
      <w:pPr>
        <w:autoSpaceDE w:val="0"/>
        <w:autoSpaceDN w:val="0"/>
        <w:adjustRightInd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10.4.1.除另有约定，本合同任何修改、补充或变更必须经双方协商一致，并书面签订补充协议。</w:t>
      </w:r>
    </w:p>
    <w:p>
      <w:pPr>
        <w:autoSpaceDE w:val="0"/>
        <w:autoSpaceDN w:val="0"/>
        <w:adjustRightInd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10.4.2.如果本合同的任何条款不合法、无效或不能执行，则：</w:t>
      </w:r>
    </w:p>
    <w:p>
      <w:pPr>
        <w:autoSpaceDE w:val="0"/>
        <w:autoSpaceDN w:val="0"/>
        <w:adjustRightInd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（1）并不影响其他条款的效力和执行；</w:t>
      </w:r>
    </w:p>
    <w:p>
      <w:pPr>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（2）双方应商定对不合法、无效或不能执行的条款进行修改，使之合法、有效并可执行；修改或更改应尽可能平衡双方之间的利益。</w:t>
      </w:r>
    </w:p>
    <w:p>
      <w:pPr>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10.4.3.项目变更时为确保效率，如无涉及项目资金变动，服务项目可按照协商过程中确认的往来文件立即实施。如涉及项目资金变动，双方必须就相关变更事项签订补充协议。</w:t>
      </w:r>
    </w:p>
    <w:p>
      <w:pPr>
        <w:keepNext/>
        <w:keepLines/>
        <w:numPr>
          <w:ilvl w:val="1"/>
          <w:numId w:val="5"/>
        </w:numPr>
        <w:spacing w:before="260" w:after="260" w:line="360" w:lineRule="auto"/>
        <w:ind w:left="227"/>
        <w:outlineLvl w:val="1"/>
        <w:rPr>
          <w:rFonts w:hint="default" w:ascii="Times New Roman" w:hAnsi="Times New Roman" w:eastAsia="宋体" w:cs="Times New Roman"/>
          <w:b/>
          <w:bCs/>
          <w:sz w:val="21"/>
          <w:szCs w:val="21"/>
        </w:rPr>
      </w:pPr>
      <w:bookmarkStart w:id="35" w:name="_Toc530148519"/>
      <w:r>
        <w:rPr>
          <w:rFonts w:hint="default" w:ascii="Times New Roman" w:hAnsi="Times New Roman" w:eastAsia="宋体" w:cs="Times New Roman"/>
          <w:b/>
          <w:bCs/>
          <w:sz w:val="21"/>
          <w:szCs w:val="21"/>
        </w:rPr>
        <w:t>不弃权</w:t>
      </w:r>
      <w:bookmarkEnd w:id="35"/>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除非另有规定，一方未行使或迟延行使本合同项下的权利、权力并不构成放弃这些权利、权力，而单一或部分行使这些权利、权力并不排斥行使任何其他权利、权力。</w:t>
      </w:r>
    </w:p>
    <w:p>
      <w:pPr>
        <w:keepNext/>
        <w:keepLines/>
        <w:numPr>
          <w:ilvl w:val="1"/>
          <w:numId w:val="5"/>
        </w:numPr>
        <w:spacing w:before="260" w:after="260" w:line="360" w:lineRule="auto"/>
        <w:ind w:left="227"/>
        <w:outlineLvl w:val="1"/>
        <w:rPr>
          <w:rFonts w:hint="default" w:ascii="Times New Roman" w:hAnsi="Times New Roman" w:eastAsia="宋体" w:cs="Times New Roman"/>
          <w:b/>
          <w:bCs/>
          <w:sz w:val="21"/>
          <w:szCs w:val="21"/>
        </w:rPr>
      </w:pPr>
      <w:bookmarkStart w:id="36" w:name="_Toc530148520"/>
      <w:r>
        <w:rPr>
          <w:rFonts w:hint="default" w:ascii="Times New Roman" w:hAnsi="Times New Roman" w:eastAsia="宋体" w:cs="Times New Roman"/>
          <w:b/>
          <w:bCs/>
          <w:sz w:val="21"/>
          <w:szCs w:val="21"/>
        </w:rPr>
        <w:t>通知</w:t>
      </w:r>
      <w:bookmarkEnd w:id="36"/>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10.6.1.本合同约定的联系地址、联系方式为甲乙双方唯一联系地址、联系方式。甲、乙双方因履行本合同而需由一方发给对方的任何通知应以书面方式发出。该通知可以专人送达、传真、电子邮件、特快专递或挂号方式送达的方式发出。所有的通知应送达本合同项下对方当事人的地址或该方事先通知的其他地址或传真号码。该联系地址或联系方式有变动的，应至少提前三日书面通知对方。双方发生争议后，甚至进入诉讼程序，该联系地址、联系方式仍为有效。</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10.6.2.上述通知、要求或信息，以专人送达的，以受送达人在送达回执上的签收时间为送达日期；以传真方式送达的，以发送之日为送达日期；以电子邮件方式送达的，以到达受送达人特定系统的日期为送达日期；以特快专递或挂号方式送达的，以受送达人在相应邮寄凭证上签收之日为送达日期。上述联系地址或联系方式发生变动且未及时书面通知另一方的，另一方按原地址邮寄相关材料即视为已履行送达义务。</w:t>
      </w:r>
    </w:p>
    <w:p>
      <w:pPr>
        <w:keepNext/>
        <w:keepLines/>
        <w:numPr>
          <w:ilvl w:val="1"/>
          <w:numId w:val="5"/>
        </w:numPr>
        <w:spacing w:before="260" w:after="260" w:line="360" w:lineRule="auto"/>
        <w:ind w:left="227"/>
        <w:outlineLvl w:val="1"/>
        <w:rPr>
          <w:rFonts w:hint="default" w:ascii="Times New Roman" w:hAnsi="Times New Roman" w:eastAsia="宋体" w:cs="Times New Roman"/>
          <w:b/>
          <w:bCs/>
          <w:sz w:val="21"/>
          <w:szCs w:val="21"/>
        </w:rPr>
      </w:pPr>
      <w:bookmarkStart w:id="37" w:name="_Toc530148522"/>
      <w:r>
        <w:rPr>
          <w:rFonts w:hint="default" w:ascii="Times New Roman" w:hAnsi="Times New Roman" w:eastAsia="宋体" w:cs="Times New Roman"/>
          <w:b/>
          <w:bCs/>
          <w:sz w:val="21"/>
          <w:szCs w:val="21"/>
        </w:rPr>
        <w:t>合同解除条件</w:t>
      </w:r>
    </w:p>
    <w:p>
      <w:pPr>
        <w:autoSpaceDE w:val="0"/>
        <w:autoSpaceDN w:val="0"/>
        <w:adjustRightInd w:val="0"/>
        <w:snapToGrid w:val="0"/>
        <w:spacing w:line="360" w:lineRule="auto"/>
        <w:ind w:left="210" w:leftChars="100" w:right="34"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如果发生以下情况，可以视为合同解除或终止，有关责任方承担相应的责任：</w:t>
      </w:r>
    </w:p>
    <w:p>
      <w:pPr>
        <w:autoSpaceDE w:val="0"/>
        <w:autoSpaceDN w:val="0"/>
        <w:adjustRightInd w:val="0"/>
        <w:snapToGrid w:val="0"/>
        <w:spacing w:line="360" w:lineRule="auto"/>
        <w:ind w:left="210" w:leftChars="100" w:right="34"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（1）一方进入解散或清算阶段；</w:t>
      </w:r>
    </w:p>
    <w:p>
      <w:pPr>
        <w:autoSpaceDE w:val="0"/>
        <w:autoSpaceDN w:val="0"/>
        <w:adjustRightInd w:val="0"/>
        <w:snapToGrid w:val="0"/>
        <w:spacing w:line="360" w:lineRule="auto"/>
        <w:ind w:left="210" w:leftChars="100" w:right="34"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（2）一方被宣告破产或其它原因致使资不抵债；</w:t>
      </w:r>
    </w:p>
    <w:p>
      <w:pPr>
        <w:autoSpaceDE w:val="0"/>
        <w:autoSpaceDN w:val="0"/>
        <w:adjustRightInd w:val="0"/>
        <w:snapToGrid w:val="0"/>
        <w:spacing w:line="360" w:lineRule="auto"/>
        <w:ind w:left="210" w:leftChars="100" w:right="34"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（3）本合同已有效、适当、全面得到履行；</w:t>
      </w:r>
    </w:p>
    <w:p>
      <w:pPr>
        <w:autoSpaceDE w:val="0"/>
        <w:autoSpaceDN w:val="0"/>
        <w:adjustRightInd w:val="0"/>
        <w:snapToGrid w:val="0"/>
        <w:spacing w:line="360" w:lineRule="auto"/>
        <w:ind w:left="210" w:leftChars="100" w:right="34"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（4）双方共同同意以书面文件提前解除合同；</w:t>
      </w:r>
    </w:p>
    <w:p>
      <w:pPr>
        <w:autoSpaceDE w:val="0"/>
        <w:autoSpaceDN w:val="0"/>
        <w:adjustRightInd w:val="0"/>
        <w:snapToGrid w:val="0"/>
        <w:spacing w:line="360" w:lineRule="auto"/>
        <w:ind w:left="210" w:leftChars="100" w:right="34"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（5）根据仲裁机构或司法机关作出的生效法律文书，本合同解除或终止。</w:t>
      </w:r>
    </w:p>
    <w:p>
      <w:pPr>
        <w:keepNext/>
        <w:keepLines/>
        <w:numPr>
          <w:ilvl w:val="1"/>
          <w:numId w:val="5"/>
        </w:numPr>
        <w:spacing w:before="260" w:after="260" w:line="360" w:lineRule="auto"/>
        <w:ind w:left="227"/>
        <w:outlineLvl w:val="1"/>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合同份数</w:t>
      </w:r>
      <w:bookmarkEnd w:id="37"/>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本合同一式</w:t>
      </w:r>
      <w:r>
        <w:rPr>
          <w:rFonts w:hint="eastAsia" w:ascii="Times New Roman" w:hAnsi="Times New Roman" w:eastAsia="宋体" w:cs="Times New Roman"/>
          <w:sz w:val="21"/>
          <w:szCs w:val="21"/>
          <w:highlight w:val="none"/>
          <w:u w:val="single"/>
          <w:lang w:val="en-US" w:eastAsia="zh-CN"/>
        </w:rPr>
        <w:t>伍</w:t>
      </w:r>
      <w:r>
        <w:rPr>
          <w:rFonts w:hint="default" w:ascii="Times New Roman" w:hAnsi="Times New Roman" w:eastAsia="宋体" w:cs="Times New Roman"/>
          <w:sz w:val="21"/>
          <w:szCs w:val="21"/>
          <w:highlight w:val="none"/>
        </w:rPr>
        <w:t>份</w:t>
      </w:r>
      <w:r>
        <w:rPr>
          <w:rFonts w:hint="default" w:ascii="Times New Roman" w:hAnsi="Times New Roman" w:eastAsia="宋体" w:cs="Times New Roman"/>
          <w:sz w:val="21"/>
          <w:szCs w:val="21"/>
        </w:rPr>
        <w:t>，甲方执</w:t>
      </w:r>
      <w:r>
        <w:rPr>
          <w:rFonts w:hint="eastAsia" w:ascii="Times New Roman" w:hAnsi="Times New Roman" w:cs="Times New Roman"/>
          <w:sz w:val="21"/>
          <w:szCs w:val="21"/>
          <w:u w:val="single"/>
          <w:lang w:val="en-US" w:eastAsia="zh-CN"/>
        </w:rPr>
        <w:t>叁</w:t>
      </w:r>
      <w:r>
        <w:rPr>
          <w:rFonts w:hint="default" w:ascii="Times New Roman" w:hAnsi="Times New Roman" w:eastAsia="宋体" w:cs="Times New Roman"/>
          <w:sz w:val="21"/>
          <w:szCs w:val="21"/>
        </w:rPr>
        <w:t>份，乙方执</w:t>
      </w:r>
      <w:r>
        <w:rPr>
          <w:rFonts w:hint="eastAsia" w:ascii="Times New Roman" w:hAnsi="Times New Roman" w:eastAsia="宋体" w:cs="Times New Roman"/>
          <w:sz w:val="21"/>
          <w:szCs w:val="21"/>
          <w:highlight w:val="none"/>
          <w:u w:val="single"/>
          <w:lang w:val="en-US" w:eastAsia="zh-CN"/>
        </w:rPr>
        <w:t>贰</w:t>
      </w:r>
      <w:r>
        <w:rPr>
          <w:rFonts w:hint="default" w:ascii="Times New Roman" w:hAnsi="Times New Roman" w:eastAsia="宋体" w:cs="Times New Roman"/>
          <w:sz w:val="21"/>
          <w:szCs w:val="21"/>
          <w:highlight w:val="none"/>
        </w:rPr>
        <w:t>份</w:t>
      </w:r>
      <w:r>
        <w:rPr>
          <w:rFonts w:hint="default" w:ascii="Times New Roman" w:hAnsi="Times New Roman" w:eastAsia="宋体" w:cs="Times New Roman"/>
          <w:sz w:val="21"/>
          <w:szCs w:val="21"/>
        </w:rPr>
        <w:t>，具有同等法律效力。</w:t>
      </w:r>
    </w:p>
    <w:p>
      <w:pPr>
        <w:keepNext/>
        <w:keepLines/>
        <w:numPr>
          <w:ilvl w:val="1"/>
          <w:numId w:val="5"/>
        </w:numPr>
        <w:spacing w:before="260" w:after="260" w:line="360" w:lineRule="auto"/>
        <w:outlineLvl w:val="1"/>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合同页数</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本合同正文（</w:t>
      </w:r>
      <w:bookmarkStart w:id="38" w:name="_Hlk12887687"/>
      <w:r>
        <w:rPr>
          <w:rFonts w:hint="default" w:ascii="Times New Roman" w:hAnsi="Times New Roman" w:eastAsia="宋体" w:cs="Times New Roman"/>
          <w:sz w:val="21"/>
          <w:szCs w:val="21"/>
        </w:rPr>
        <w:t>不含封面、编写说明及签署页</w:t>
      </w:r>
      <w:bookmarkEnd w:id="38"/>
      <w:r>
        <w:rPr>
          <w:rFonts w:hint="default" w:ascii="Times New Roman" w:hAnsi="Times New Roman" w:eastAsia="宋体" w:cs="Times New Roman"/>
          <w:sz w:val="21"/>
          <w:szCs w:val="21"/>
        </w:rPr>
        <w:t>）合计</w:t>
      </w:r>
      <w:r>
        <w:rPr>
          <w:rFonts w:hint="default" w:ascii="Times New Roman" w:hAnsi="Times New Roman" w:eastAsia="宋体" w:cs="Times New Roman"/>
          <w:sz w:val="21"/>
          <w:szCs w:val="21"/>
          <w:highlight w:val="none"/>
          <w:u w:val="single"/>
        </w:rPr>
        <w:t xml:space="preserve"> </w:t>
      </w:r>
      <w:r>
        <w:rPr>
          <w:rFonts w:hint="eastAsia" w:ascii="Times New Roman" w:hAnsi="Times New Roman" w:cs="Times New Roman"/>
          <w:sz w:val="21"/>
          <w:szCs w:val="21"/>
          <w:highlight w:val="none"/>
          <w:u w:val="single"/>
          <w:lang w:val="en-US" w:eastAsia="zh-CN"/>
        </w:rPr>
        <w:t>11</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页A4纸张，附件份共</w:t>
      </w:r>
      <w:r>
        <w:rPr>
          <w:rFonts w:hint="default" w:ascii="Times New Roman" w:hAnsi="Times New Roman" w:eastAsia="宋体" w:cs="Times New Roman"/>
          <w:sz w:val="21"/>
          <w:szCs w:val="21"/>
          <w:highlight w:val="none"/>
          <w:u w:val="single"/>
        </w:rPr>
        <w:t xml:space="preserve"> </w:t>
      </w:r>
      <w:r>
        <w:rPr>
          <w:rFonts w:hint="eastAsia" w:ascii="Times New Roman" w:hAnsi="Times New Roman" w:cs="Times New Roman"/>
          <w:sz w:val="21"/>
          <w:szCs w:val="21"/>
          <w:highlight w:val="none"/>
          <w:u w:val="single"/>
          <w:lang w:val="en-US" w:eastAsia="zh-CN"/>
        </w:rPr>
        <w:t>7</w:t>
      </w:r>
      <w:r>
        <w:rPr>
          <w:rFonts w:hint="default" w:ascii="Times New Roman" w:hAnsi="Times New Roman" w:eastAsia="宋体" w:cs="Times New Roman"/>
          <w:sz w:val="21"/>
          <w:szCs w:val="21"/>
          <w:highlight w:val="none"/>
          <w:u w:val="single"/>
        </w:rPr>
        <w:t xml:space="preserve"> </w:t>
      </w:r>
      <w:r>
        <w:rPr>
          <w:rFonts w:hint="default" w:ascii="Times New Roman" w:hAnsi="Times New Roman" w:eastAsia="宋体" w:cs="Times New Roman"/>
          <w:sz w:val="21"/>
          <w:szCs w:val="21"/>
        </w:rPr>
        <w:t>页A4纸张。缺页之合同为无效合同。</w:t>
      </w:r>
    </w:p>
    <w:p>
      <w:pPr>
        <w:spacing w:line="360" w:lineRule="auto"/>
        <w:rPr>
          <w:rFonts w:hint="default" w:ascii="Times New Roman" w:hAnsi="Times New Roman" w:eastAsia="宋体" w:cs="Times New Roman"/>
          <w:sz w:val="21"/>
          <w:szCs w:val="21"/>
        </w:rPr>
      </w:pP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附件：</w:t>
      </w:r>
    </w:p>
    <w:p>
      <w:pPr>
        <w:spacing w:line="360" w:lineRule="auto"/>
        <w:ind w:firstLine="420" w:firstLineChars="200"/>
        <w:rPr>
          <w:rFonts w:hint="default" w:ascii="Times New Roman" w:hAnsi="Times New Roman" w:eastAsia="宋体" w:cs="Times New Roman"/>
          <w:sz w:val="21"/>
          <w:szCs w:val="21"/>
          <w:lang w:eastAsia="zh-CN"/>
        </w:rPr>
      </w:pPr>
      <w:bookmarkStart w:id="39" w:name="_Hlk8718919"/>
      <w:r>
        <w:rPr>
          <w:rFonts w:hint="default" w:ascii="Times New Roman" w:hAnsi="Times New Roman" w:eastAsia="宋体" w:cs="Times New Roman"/>
          <w:sz w:val="21"/>
          <w:szCs w:val="21"/>
        </w:rPr>
        <w:t>1.</w:t>
      </w:r>
      <w:bookmarkEnd w:id="39"/>
      <w:r>
        <w:rPr>
          <w:rFonts w:hint="default" w:ascii="Times New Roman" w:hAnsi="Times New Roman" w:eastAsia="宋体" w:cs="Times New Roman"/>
          <w:sz w:val="21"/>
          <w:szCs w:val="21"/>
          <w:lang w:eastAsia="zh-CN"/>
        </w:rPr>
        <w:t>项目服务说明书</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2.验收要求</w:t>
      </w:r>
    </w:p>
    <w:p>
      <w:pPr>
        <w:spacing w:line="360" w:lineRule="auto"/>
        <w:ind w:firstLine="420" w:firstLineChars="200"/>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3.乙方团队人员清单</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若有</w:t>
      </w:r>
      <w:r>
        <w:rPr>
          <w:rFonts w:hint="eastAsia" w:ascii="Times New Roman" w:hAnsi="Times New Roman" w:cs="Times New Roman"/>
          <w:sz w:val="21"/>
          <w:szCs w:val="21"/>
          <w:lang w:eastAsia="zh-CN"/>
        </w:rPr>
        <w:t>）</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4.服务价格明细（若有）</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5.保密承诺书</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6.反商业贿赂协议</w:t>
      </w:r>
    </w:p>
    <w:p>
      <w:pPr>
        <w:spacing w:line="360" w:lineRule="auto"/>
        <w:ind w:firstLine="420" w:firstLineChars="200"/>
        <w:rPr>
          <w:rFonts w:hint="default" w:ascii="Times New Roman" w:hAnsi="Times New Roman" w:eastAsia="宋体" w:cs="Times New Roman"/>
          <w:sz w:val="21"/>
          <w:szCs w:val="21"/>
        </w:rPr>
      </w:pPr>
    </w:p>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（以下无合同正文）</w:t>
      </w:r>
    </w:p>
    <w:p>
      <w:pPr>
        <w:jc w:val="center"/>
        <w:rPr>
          <w:rFonts w:hint="default" w:ascii="Times New Roman" w:hAnsi="Times New Roman" w:eastAsia="宋体" w:cs="Times New Roman"/>
          <w:sz w:val="21"/>
          <w:szCs w:val="21"/>
        </w:rPr>
        <w:sectPr>
          <w:footerReference r:id="rId6" w:type="first"/>
          <w:footerReference r:id="rId5" w:type="default"/>
          <w:pgSz w:w="11906" w:h="16838"/>
          <w:pgMar w:top="1440" w:right="1558" w:bottom="1440" w:left="1800" w:header="851" w:footer="992" w:gutter="0"/>
          <w:cols w:space="720" w:num="1"/>
          <w:titlePg/>
          <w:docGrid w:type="lines" w:linePitch="312" w:charSpace="0"/>
        </w:sectPr>
      </w:pPr>
    </w:p>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（签署页）</w:t>
      </w:r>
    </w:p>
    <w:p>
      <w:pPr>
        <w:spacing w:line="560" w:lineRule="exact"/>
        <w:rPr>
          <w:rFonts w:hint="default" w:ascii="Times New Roman" w:hAnsi="Times New Roman" w:eastAsia="宋体" w:cs="Times New Roman"/>
          <w:sz w:val="21"/>
          <w:szCs w:val="21"/>
        </w:rPr>
      </w:pPr>
    </w:p>
    <w:p>
      <w:pPr>
        <w:spacing w:line="480" w:lineRule="auto"/>
        <w:rPr>
          <w:rFonts w:hint="default" w:ascii="Times New Roman" w:hAnsi="Times New Roman" w:eastAsia="宋体" w:cs="Times New Roman"/>
          <w:b/>
          <w:sz w:val="21"/>
          <w:szCs w:val="21"/>
        </w:rPr>
        <w:sectPr>
          <w:footerReference r:id="rId7" w:type="first"/>
          <w:pgSz w:w="11906" w:h="16838"/>
          <w:pgMar w:top="1440" w:right="1558" w:bottom="1440" w:left="1800" w:header="851" w:footer="992" w:gutter="0"/>
          <w:cols w:space="720" w:num="1"/>
          <w:titlePg/>
          <w:docGrid w:type="lines" w:linePitch="312" w:charSpace="0"/>
        </w:sectPr>
      </w:pPr>
      <w:bookmarkStart w:id="40" w:name="_Hlk8633159"/>
    </w:p>
    <w:p>
      <w:pPr>
        <w:spacing w:line="480" w:lineRule="auto"/>
        <w:rPr>
          <w:rFonts w:hint="default" w:ascii="Times New Roman" w:hAnsi="Times New Roman" w:eastAsia="宋体" w:cs="Times New Roman"/>
          <w:sz w:val="21"/>
          <w:szCs w:val="21"/>
          <w:u w:val="single"/>
          <w:lang w:val="en-US" w:eastAsia="zh-CN"/>
        </w:rPr>
      </w:pPr>
      <w:r>
        <w:rPr>
          <w:rFonts w:hint="default" w:ascii="Times New Roman" w:hAnsi="Times New Roman" w:eastAsia="宋体" w:cs="Times New Roman"/>
          <w:b/>
          <w:sz w:val="21"/>
          <w:szCs w:val="21"/>
        </w:rPr>
        <w:t>委托方（甲方）：</w:t>
      </w:r>
      <w:r>
        <w:rPr>
          <w:rFonts w:hint="default" w:ascii="Times New Roman" w:hAnsi="Times New Roman" w:eastAsia="宋体" w:cs="Times New Roman"/>
          <w:sz w:val="21"/>
          <w:szCs w:val="21"/>
          <w:u w:val="single"/>
        </w:rPr>
        <w:t xml:space="preserve">   广东省政务服务数据管理局  （盖章）</w:t>
      </w:r>
      <w:r>
        <w:rPr>
          <w:rFonts w:hint="default" w:ascii="Times New Roman" w:hAnsi="Times New Roman" w:eastAsia="宋体" w:cs="Times New Roman"/>
          <w:sz w:val="21"/>
          <w:szCs w:val="21"/>
          <w:u w:val="single"/>
          <w:lang w:val="en-US" w:eastAsia="zh-CN"/>
        </w:rPr>
        <w:t xml:space="preserve">                         </w:t>
      </w:r>
    </w:p>
    <w:p>
      <w:pPr>
        <w:spacing w:line="480" w:lineRule="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 xml:space="preserve">    住  所  地：</w:t>
      </w:r>
      <w:r>
        <w:rPr>
          <w:rFonts w:hint="default" w:ascii="Times New Roman" w:hAnsi="Times New Roman" w:eastAsia="宋体" w:cs="Times New Roman"/>
          <w:sz w:val="21"/>
          <w:szCs w:val="21"/>
          <w:u w:val="single"/>
        </w:rPr>
        <w:t xml:space="preserve"> 广州市东风中路305号9号楼</w:t>
      </w:r>
      <w:r>
        <w:rPr>
          <w:rFonts w:hint="default" w:ascii="Times New Roman" w:hAnsi="Times New Roman" w:eastAsia="宋体" w:cs="Times New Roman"/>
          <w:sz w:val="21"/>
          <w:szCs w:val="21"/>
          <w:u w:val="single"/>
          <w:lang w:val="en-US" w:eastAsia="zh-CN"/>
        </w:rPr>
        <w:t xml:space="preserve">                                   </w:t>
      </w:r>
    </w:p>
    <w:p>
      <w:pPr>
        <w:spacing w:line="480" w:lineRule="auto"/>
        <w:ind w:firstLine="420" w:firstLineChars="200"/>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rPr>
        <w:t>法定代表人/委托代理人：</w:t>
      </w:r>
      <w:r>
        <w:rPr>
          <w:rFonts w:hint="default" w:ascii="Times New Roman" w:hAnsi="Times New Roman" w:eastAsia="宋体" w:cs="Times New Roman"/>
          <w:sz w:val="21"/>
          <w:szCs w:val="21"/>
          <w:u w:val="single"/>
        </w:rPr>
        <w:t xml:space="preserve">                                               （签名）</w:t>
      </w:r>
    </w:p>
    <w:p>
      <w:pPr>
        <w:spacing w:line="480" w:lineRule="auto"/>
        <w:ind w:firstLine="420" w:firstLineChars="200"/>
        <w:rPr>
          <w:rFonts w:hint="default" w:ascii="Times New Roman" w:hAnsi="Times New Roman" w:eastAsia="宋体" w:cs="Times New Roman"/>
          <w:sz w:val="21"/>
          <w:szCs w:val="21"/>
          <w:u w:val="single"/>
          <w:lang w:val="en-US" w:eastAsia="zh-CN"/>
        </w:rPr>
      </w:pPr>
      <w:r>
        <w:rPr>
          <w:rFonts w:hint="default" w:ascii="Times New Roman" w:hAnsi="Times New Roman" w:eastAsia="宋体" w:cs="Times New Roman"/>
          <w:sz w:val="21"/>
          <w:szCs w:val="21"/>
        </w:rPr>
        <w:t>项目联系人：</w:t>
      </w:r>
      <w:r>
        <w:rPr>
          <w:rFonts w:hint="eastAsia" w:ascii="Times New Roman" w:hAnsi="Times New Roman" w:cs="Times New Roman"/>
          <w:sz w:val="21"/>
          <w:szCs w:val="21"/>
          <w:lang w:eastAsia="zh-CN"/>
        </w:rPr>
        <w:t>李先生</w:t>
      </w:r>
      <w:r>
        <w:rPr>
          <w:rFonts w:hint="default" w:ascii="Times New Roman" w:hAnsi="Times New Roman" w:eastAsia="宋体" w:cs="Times New Roman"/>
          <w:sz w:val="21"/>
          <w:szCs w:val="21"/>
          <w:u w:val="single"/>
          <w:lang w:val="en-US" w:eastAsia="zh-CN"/>
        </w:rPr>
        <w:t xml:space="preserve">                                                         </w:t>
      </w:r>
    </w:p>
    <w:p>
      <w:pPr>
        <w:spacing w:line="480" w:lineRule="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 xml:space="preserve">    联系方式 </w:t>
      </w:r>
      <w:r>
        <w:rPr>
          <w:rFonts w:hint="default" w:ascii="Times New Roman" w:hAnsi="Times New Roman" w:eastAsia="宋体" w:cs="Times New Roman"/>
          <w:sz w:val="21"/>
          <w:szCs w:val="21"/>
          <w:u w:val="single"/>
        </w:rPr>
        <w:t>：020-83134</w:t>
      </w:r>
      <w:r>
        <w:rPr>
          <w:rFonts w:hint="eastAsia" w:ascii="Times New Roman" w:hAnsi="Times New Roman" w:cs="Times New Roman"/>
          <w:sz w:val="21"/>
          <w:szCs w:val="21"/>
          <w:u w:val="single"/>
          <w:lang w:val="en-US" w:eastAsia="zh-CN"/>
        </w:rPr>
        <w:t>251</w:t>
      </w:r>
      <w:r>
        <w:rPr>
          <w:rFonts w:hint="default" w:ascii="Times New Roman" w:hAnsi="Times New Roman" w:eastAsia="宋体" w:cs="Times New Roman"/>
          <w:sz w:val="21"/>
          <w:szCs w:val="21"/>
          <w:u w:val="single"/>
          <w:lang w:val="en-US" w:eastAsia="zh-CN"/>
        </w:rPr>
        <w:t xml:space="preserve">                                                 </w:t>
      </w:r>
    </w:p>
    <w:p>
      <w:pPr>
        <w:spacing w:line="480" w:lineRule="auto"/>
        <w:rPr>
          <w:rFonts w:hint="default" w:ascii="Times New Roman" w:hAnsi="Times New Roman" w:eastAsia="宋体" w:cs="Times New Roman"/>
          <w:sz w:val="21"/>
          <w:szCs w:val="21"/>
          <w:u w:val="single"/>
          <w:lang w:val="en-US" w:eastAsia="zh-CN"/>
        </w:rPr>
      </w:pPr>
      <w:r>
        <w:rPr>
          <w:rFonts w:hint="default" w:ascii="Times New Roman" w:hAnsi="Times New Roman" w:eastAsia="宋体" w:cs="Times New Roman"/>
          <w:sz w:val="21"/>
          <w:szCs w:val="21"/>
        </w:rPr>
        <w:t xml:space="preserve">    通讯地址：</w:t>
      </w:r>
      <w:r>
        <w:rPr>
          <w:rFonts w:hint="default" w:ascii="Times New Roman" w:hAnsi="Times New Roman" w:eastAsia="宋体" w:cs="Times New Roman"/>
          <w:sz w:val="21"/>
          <w:szCs w:val="21"/>
          <w:u w:val="single"/>
        </w:rPr>
        <w:t>广州市东风中路305号9号楼</w:t>
      </w:r>
      <w:r>
        <w:rPr>
          <w:rFonts w:hint="default" w:ascii="Times New Roman" w:hAnsi="Times New Roman" w:eastAsia="宋体" w:cs="Times New Roman"/>
          <w:sz w:val="21"/>
          <w:szCs w:val="21"/>
          <w:u w:val="single"/>
          <w:lang w:val="en-US" w:eastAsia="zh-CN"/>
        </w:rPr>
        <w:t xml:space="preserve">                                       </w:t>
      </w:r>
    </w:p>
    <w:p>
      <w:pPr>
        <w:spacing w:line="480" w:lineRule="auto"/>
        <w:ind w:firstLine="420"/>
        <w:rPr>
          <w:rFonts w:hint="default" w:ascii="Times New Roman" w:hAnsi="Times New Roman" w:eastAsia="宋体" w:cs="Times New Roman"/>
          <w:b/>
          <w:sz w:val="21"/>
          <w:szCs w:val="21"/>
          <w:u w:val="single"/>
          <w:lang w:val="en-US" w:eastAsia="zh-CN"/>
        </w:rPr>
      </w:pPr>
      <w:r>
        <w:rPr>
          <w:rFonts w:hint="default" w:ascii="Times New Roman" w:hAnsi="Times New Roman" w:eastAsia="宋体" w:cs="Times New Roman"/>
          <w:sz w:val="21"/>
          <w:szCs w:val="21"/>
        </w:rPr>
        <w:t>电　　话：</w:t>
      </w:r>
      <w:r>
        <w:rPr>
          <w:rFonts w:hint="default" w:ascii="Times New Roman" w:hAnsi="Times New Roman" w:eastAsia="宋体" w:cs="Times New Roman"/>
          <w:sz w:val="21"/>
          <w:szCs w:val="21"/>
          <w:u w:val="single"/>
        </w:rPr>
        <w:t>020-8313</w:t>
      </w:r>
      <w:r>
        <w:rPr>
          <w:rFonts w:hint="eastAsia" w:ascii="Times New Roman" w:hAnsi="Times New Roman" w:cs="Times New Roman"/>
          <w:sz w:val="21"/>
          <w:szCs w:val="21"/>
          <w:u w:val="single"/>
          <w:lang w:val="en-US" w:eastAsia="zh-CN"/>
        </w:rPr>
        <w:t>4251</w:t>
      </w:r>
      <w:r>
        <w:rPr>
          <w:rFonts w:hint="default" w:ascii="Times New Roman" w:hAnsi="Times New Roman" w:eastAsia="宋体" w:cs="Times New Roman"/>
          <w:sz w:val="21"/>
          <w:szCs w:val="21"/>
          <w:u w:val="single"/>
          <w:lang w:val="en-US" w:eastAsia="zh-CN"/>
        </w:rPr>
        <w:t xml:space="preserve">                                                   </w:t>
      </w:r>
    </w:p>
    <w:p>
      <w:pPr>
        <w:spacing w:line="480" w:lineRule="auto"/>
        <w:ind w:firstLine="420"/>
        <w:rPr>
          <w:rFonts w:hint="default" w:ascii="Times New Roman" w:hAnsi="Times New Roman" w:eastAsia="宋体" w:cs="Times New Roman"/>
          <w:sz w:val="21"/>
          <w:szCs w:val="21"/>
          <w:u w:val="single"/>
          <w:lang w:val="en-US" w:eastAsia="zh-CN"/>
        </w:rPr>
      </w:pPr>
      <w:r>
        <w:rPr>
          <w:rFonts w:hint="default" w:ascii="Times New Roman" w:hAnsi="Times New Roman" w:eastAsia="宋体" w:cs="Times New Roman"/>
          <w:sz w:val="21"/>
          <w:szCs w:val="21"/>
        </w:rPr>
        <w:t>传　　真：</w:t>
      </w:r>
      <w:r>
        <w:rPr>
          <w:rFonts w:hint="default" w:ascii="Times New Roman" w:hAnsi="Times New Roman" w:eastAsia="宋体" w:cs="Times New Roman"/>
          <w:sz w:val="21"/>
          <w:szCs w:val="21"/>
          <w:u w:val="single"/>
          <w:lang w:val="en-US" w:eastAsia="zh-CN"/>
        </w:rPr>
        <w:t xml:space="preserve">                                                                 </w:t>
      </w:r>
    </w:p>
    <w:p>
      <w:pPr>
        <w:spacing w:line="480" w:lineRule="auto"/>
        <w:ind w:firstLine="420"/>
        <w:rPr>
          <w:rFonts w:hint="default" w:ascii="Times New Roman" w:hAnsi="Times New Roman" w:eastAsia="宋体" w:cs="Times New Roman"/>
          <w:b/>
          <w:sz w:val="21"/>
          <w:szCs w:val="21"/>
          <w:u w:val="single"/>
          <w:lang w:val="en-US" w:eastAsia="zh-CN"/>
        </w:rPr>
      </w:pPr>
      <w:r>
        <w:rPr>
          <w:rFonts w:hint="default" w:ascii="Times New Roman" w:hAnsi="Times New Roman" w:eastAsia="宋体" w:cs="Times New Roman"/>
          <w:sz w:val="21"/>
          <w:szCs w:val="21"/>
        </w:rPr>
        <w:t>电子信箱：</w:t>
      </w:r>
      <w:r>
        <w:rPr>
          <w:rFonts w:hint="default" w:ascii="Times New Roman" w:hAnsi="Times New Roman" w:eastAsia="宋体" w:cs="Times New Roman"/>
          <w:sz w:val="21"/>
          <w:szCs w:val="21"/>
          <w:u w:val="single"/>
          <w:lang w:val="en-US" w:eastAsia="zh-CN"/>
        </w:rPr>
        <w:t xml:space="preserve">                                                                </w:t>
      </w:r>
    </w:p>
    <w:p>
      <w:pPr>
        <w:spacing w:line="480" w:lineRule="auto"/>
        <w:ind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年     月     日</w:t>
      </w:r>
    </w:p>
    <w:p>
      <w:pPr>
        <w:spacing w:line="480" w:lineRule="auto"/>
        <w:rPr>
          <w:rFonts w:hint="default" w:ascii="Times New Roman" w:hAnsi="Times New Roman" w:eastAsia="宋体" w:cs="Times New Roman"/>
          <w:sz w:val="21"/>
          <w:szCs w:val="21"/>
          <w:u w:val="single"/>
        </w:rPr>
      </w:pPr>
      <w:r>
        <w:rPr>
          <w:rFonts w:hint="default" w:ascii="Times New Roman" w:hAnsi="Times New Roman" w:eastAsia="宋体" w:cs="Times New Roman"/>
          <w:b/>
          <w:sz w:val="21"/>
          <w:szCs w:val="21"/>
        </w:rPr>
        <w:t>受托方（乙方）：</w:t>
      </w:r>
      <w:r>
        <w:rPr>
          <w:rFonts w:hint="default" w:ascii="Times New Roman" w:hAnsi="Times New Roman" w:eastAsia="宋体" w:cs="Times New Roman"/>
          <w:sz w:val="21"/>
          <w:szCs w:val="21"/>
          <w:u w:val="single"/>
        </w:rPr>
        <w:t xml:space="preserve">                                                        （盖章）</w:t>
      </w:r>
    </w:p>
    <w:p>
      <w:pPr>
        <w:spacing w:line="480" w:lineRule="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 xml:space="preserve">    住  所  地：</w:t>
      </w:r>
      <w:r>
        <w:rPr>
          <w:rFonts w:hint="default" w:ascii="Times New Roman" w:hAnsi="Times New Roman" w:eastAsia="宋体" w:cs="Times New Roman"/>
          <w:sz w:val="21"/>
          <w:szCs w:val="21"/>
          <w:u w:val="single"/>
          <w:lang w:val="en-US" w:eastAsia="zh-CN"/>
        </w:rPr>
        <w:t xml:space="preserve">                                                              </w:t>
      </w:r>
    </w:p>
    <w:p>
      <w:pPr>
        <w:spacing w:line="480" w:lineRule="auto"/>
        <w:ind w:firstLine="420" w:firstLineChars="200"/>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rPr>
        <w:t>法定代表人/委托代理人：</w:t>
      </w:r>
      <w:r>
        <w:rPr>
          <w:rFonts w:hint="default" w:ascii="Times New Roman" w:hAnsi="Times New Roman" w:eastAsia="宋体" w:cs="Times New Roman"/>
          <w:sz w:val="21"/>
          <w:szCs w:val="21"/>
          <w:u w:val="single"/>
        </w:rPr>
        <w:t xml:space="preserve">                                               （签名）</w:t>
      </w:r>
    </w:p>
    <w:p>
      <w:pPr>
        <w:spacing w:line="480" w:lineRule="auto"/>
        <w:ind w:firstLine="420" w:firstLineChars="200"/>
        <w:rPr>
          <w:rFonts w:hint="default" w:ascii="Times New Roman" w:hAnsi="Times New Roman" w:eastAsia="宋体" w:cs="Times New Roman"/>
          <w:sz w:val="21"/>
          <w:szCs w:val="21"/>
          <w:u w:val="single"/>
          <w:lang w:val="en-US" w:eastAsia="zh-CN"/>
        </w:rPr>
      </w:pPr>
      <w:r>
        <w:rPr>
          <w:rFonts w:hint="default" w:ascii="Times New Roman" w:hAnsi="Times New Roman" w:eastAsia="宋体" w:cs="Times New Roman"/>
          <w:sz w:val="21"/>
          <w:szCs w:val="21"/>
        </w:rPr>
        <w:t>项目联系人：</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lang w:val="en-US" w:eastAsia="zh-CN"/>
        </w:rPr>
        <w:t xml:space="preserve"> </w:t>
      </w:r>
    </w:p>
    <w:p>
      <w:pPr>
        <w:spacing w:line="480" w:lineRule="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 xml:space="preserve">    联系方式 ：</w:t>
      </w:r>
      <w:r>
        <w:rPr>
          <w:rFonts w:hint="default" w:ascii="Times New Roman" w:hAnsi="Times New Roman" w:eastAsia="宋体" w:cs="Times New Roman"/>
          <w:sz w:val="21"/>
          <w:szCs w:val="21"/>
          <w:u w:val="single"/>
          <w:lang w:val="en-US" w:eastAsia="zh-CN"/>
        </w:rPr>
        <w:t xml:space="preserve">                                                                </w:t>
      </w:r>
    </w:p>
    <w:p>
      <w:pPr>
        <w:spacing w:line="480" w:lineRule="auto"/>
        <w:rPr>
          <w:rFonts w:hint="default" w:ascii="Times New Roman" w:hAnsi="Times New Roman" w:eastAsia="宋体" w:cs="Times New Roman"/>
          <w:sz w:val="21"/>
          <w:szCs w:val="21"/>
          <w:u w:val="single"/>
          <w:lang w:val="en-US" w:eastAsia="zh-CN"/>
        </w:rPr>
      </w:pPr>
      <w:r>
        <w:rPr>
          <w:rFonts w:hint="default" w:ascii="Times New Roman" w:hAnsi="Times New Roman" w:eastAsia="宋体" w:cs="Times New Roman"/>
          <w:sz w:val="21"/>
          <w:szCs w:val="21"/>
        </w:rPr>
        <w:t xml:space="preserve">    通讯地址：</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u w:val="single"/>
          <w:lang w:val="en-US" w:eastAsia="zh-CN"/>
        </w:rPr>
        <w:t xml:space="preserve">                                                                </w:t>
      </w:r>
    </w:p>
    <w:p>
      <w:pPr>
        <w:spacing w:line="480" w:lineRule="auto"/>
        <w:ind w:firstLine="420"/>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sz w:val="21"/>
          <w:szCs w:val="21"/>
        </w:rPr>
        <w:t>电　　话：</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u w:val="single"/>
          <w:lang w:val="en-US" w:eastAsia="zh-CN"/>
        </w:rPr>
        <w:t xml:space="preserve">                                                               </w:t>
      </w:r>
    </w:p>
    <w:p>
      <w:pPr>
        <w:spacing w:line="480" w:lineRule="auto"/>
        <w:ind w:firstLine="420"/>
        <w:rPr>
          <w:rFonts w:hint="default" w:ascii="Times New Roman" w:hAnsi="Times New Roman" w:eastAsia="宋体" w:cs="Times New Roman"/>
          <w:sz w:val="21"/>
          <w:szCs w:val="21"/>
          <w:u w:val="single"/>
          <w:lang w:val="en-US" w:eastAsia="zh-CN"/>
        </w:rPr>
      </w:pPr>
      <w:r>
        <w:rPr>
          <w:rFonts w:hint="default" w:ascii="Times New Roman" w:hAnsi="Times New Roman" w:eastAsia="宋体" w:cs="Times New Roman"/>
          <w:sz w:val="21"/>
          <w:szCs w:val="21"/>
        </w:rPr>
        <w:t>传　　真：</w:t>
      </w:r>
      <w:r>
        <w:rPr>
          <w:rFonts w:hint="default" w:ascii="Times New Roman" w:hAnsi="Times New Roman" w:eastAsia="宋体" w:cs="Times New Roman"/>
          <w:sz w:val="21"/>
          <w:szCs w:val="21"/>
          <w:u w:val="single"/>
          <w:lang w:val="en-US" w:eastAsia="zh-CN"/>
        </w:rPr>
        <w:t xml:space="preserve">                                                                 </w:t>
      </w:r>
    </w:p>
    <w:p>
      <w:pPr>
        <w:spacing w:line="480" w:lineRule="auto"/>
        <w:ind w:firstLine="420"/>
        <w:rPr>
          <w:rFonts w:hint="default" w:ascii="Times New Roman" w:hAnsi="Times New Roman" w:eastAsia="宋体" w:cs="Times New Roman"/>
          <w:b/>
          <w:sz w:val="21"/>
          <w:szCs w:val="21"/>
          <w:u w:val="single"/>
          <w:lang w:val="en-US" w:eastAsia="zh-CN"/>
        </w:rPr>
      </w:pPr>
      <w:r>
        <w:rPr>
          <w:rFonts w:hint="default" w:ascii="Times New Roman" w:hAnsi="Times New Roman" w:eastAsia="宋体" w:cs="Times New Roman"/>
          <w:sz w:val="21"/>
          <w:szCs w:val="21"/>
        </w:rPr>
        <w:t>电子信箱：</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u w:val="single"/>
          <w:lang w:val="en-US" w:eastAsia="zh-CN"/>
        </w:rPr>
        <w:t xml:space="preserve">                                                                 </w:t>
      </w:r>
    </w:p>
    <w:p>
      <w:pPr>
        <w:spacing w:line="480" w:lineRule="auto"/>
        <w:ind w:firstLine="420"/>
        <w:rPr>
          <w:rFonts w:hint="default" w:ascii="Times New Roman" w:hAnsi="Times New Roman" w:eastAsia="宋体" w:cs="Times New Roman"/>
          <w:b/>
          <w:sz w:val="21"/>
          <w:szCs w:val="21"/>
          <w:u w:val="single"/>
        </w:rPr>
      </w:pPr>
      <w:r>
        <w:rPr>
          <w:rFonts w:hint="default" w:ascii="Times New Roman" w:hAnsi="Times New Roman" w:eastAsia="宋体" w:cs="Times New Roman"/>
          <w:sz w:val="21"/>
          <w:szCs w:val="21"/>
        </w:rPr>
        <w:t xml:space="preserve">                                                             年     月     </w:t>
      </w:r>
      <w:bookmarkEnd w:id="40"/>
      <w:r>
        <w:rPr>
          <w:rFonts w:hint="default" w:ascii="Times New Roman" w:hAnsi="Times New Roman" w:eastAsia="宋体" w:cs="Times New Roman"/>
          <w:sz w:val="21"/>
          <w:szCs w:val="21"/>
        </w:rPr>
        <w:t>日</w:t>
      </w:r>
    </w:p>
    <w:p>
      <w:pPr>
        <w:spacing w:line="480" w:lineRule="auto"/>
        <w:rPr>
          <w:rFonts w:hint="default" w:ascii="Times New Roman" w:hAnsi="Times New Roman" w:eastAsia="宋体" w:cs="Times New Roman"/>
          <w:b/>
          <w:sz w:val="21"/>
          <w:szCs w:val="21"/>
          <w:u w:val="single"/>
        </w:rPr>
        <w:sectPr>
          <w:type w:val="continuous"/>
          <w:pgSz w:w="11906" w:h="16838"/>
          <w:pgMar w:top="1440" w:right="1558" w:bottom="1440" w:left="1800" w:header="851" w:footer="992" w:gutter="0"/>
          <w:cols w:space="720" w:num="1"/>
          <w:titlePg/>
          <w:docGrid w:type="lines" w:linePitch="312" w:charSpace="0"/>
        </w:sectPr>
      </w:pPr>
    </w:p>
    <w:bookmarkEnd w:id="5"/>
    <w:p>
      <w:pPr>
        <w:sectPr>
          <w:type w:val="continuous"/>
          <w:pgSz w:w="11906" w:h="16838"/>
          <w:pgMar w:top="1440" w:right="1558" w:bottom="1440" w:left="1800" w:header="851" w:footer="992" w:gutter="0"/>
          <w:cols w:space="720" w:num="1"/>
          <w:titlePg/>
          <w:docGrid w:type="lines" w:linePitch="312" w:charSpace="0"/>
        </w:sectPr>
      </w:pPr>
    </w:p>
    <w:p>
      <w:pPr>
        <w:spacing w:line="360" w:lineRule="auto"/>
        <w:outlineLvl w:val="0"/>
        <w:rPr>
          <w:rFonts w:hint="eastAsia" w:eastAsia="等线"/>
          <w:b/>
          <w:szCs w:val="21"/>
          <w:lang w:eastAsia="zh-CN"/>
        </w:rPr>
      </w:pPr>
      <w:r>
        <w:rPr>
          <w:b/>
          <w:szCs w:val="21"/>
        </w:rPr>
        <w:t>附件1.</w:t>
      </w:r>
      <w:r>
        <w:rPr>
          <w:rFonts w:hint="eastAsia"/>
          <w:b/>
          <w:szCs w:val="21"/>
          <w:lang w:eastAsia="zh-CN"/>
        </w:rPr>
        <w:t>项目服务说明书</w:t>
      </w:r>
    </w:p>
    <w:p>
      <w:pPr>
        <w:autoSpaceDE w:val="0"/>
        <w:autoSpaceDN w:val="0"/>
        <w:adjustRightInd w:val="0"/>
        <w:snapToGrid w:val="0"/>
        <w:spacing w:line="360" w:lineRule="auto"/>
        <w:ind w:left="210" w:leftChars="100" w:right="34" w:firstLine="420" w:firstLineChars="200"/>
        <w:jc w:val="left"/>
        <w:rPr>
          <w:i/>
          <w:color w:val="7F7F7F"/>
          <w:szCs w:val="21"/>
        </w:rPr>
      </w:pPr>
      <w:r>
        <w:rPr>
          <w:rFonts w:hint="eastAsia"/>
          <w:i/>
          <w:color w:val="7F7F7F"/>
          <w:szCs w:val="21"/>
          <w:lang w:eastAsia="zh-CN"/>
        </w:rPr>
        <w:t>项目服务说明书</w:t>
      </w:r>
      <w:r>
        <w:rPr>
          <w:i/>
          <w:color w:val="7F7F7F"/>
          <w:szCs w:val="21"/>
        </w:rPr>
        <w:t>包括但不限于以下内容：</w:t>
      </w:r>
    </w:p>
    <w:p>
      <w:pPr>
        <w:autoSpaceDE w:val="0"/>
        <w:autoSpaceDN w:val="0"/>
        <w:adjustRightInd w:val="0"/>
        <w:snapToGrid w:val="0"/>
        <w:spacing w:line="360" w:lineRule="auto"/>
        <w:ind w:left="210" w:leftChars="100" w:right="34" w:firstLine="420" w:firstLineChars="200"/>
        <w:jc w:val="left"/>
        <w:rPr>
          <w:i/>
          <w:color w:val="7F7F7F"/>
          <w:szCs w:val="21"/>
        </w:rPr>
      </w:pPr>
      <w:r>
        <w:rPr>
          <w:i/>
          <w:color w:val="7F7F7F"/>
          <w:szCs w:val="21"/>
        </w:rPr>
        <w:t>1.服务目标</w:t>
      </w:r>
    </w:p>
    <w:p>
      <w:pPr>
        <w:autoSpaceDE w:val="0"/>
        <w:autoSpaceDN w:val="0"/>
        <w:adjustRightInd w:val="0"/>
        <w:snapToGrid w:val="0"/>
        <w:spacing w:line="360" w:lineRule="auto"/>
        <w:ind w:left="210" w:leftChars="100" w:right="34" w:firstLine="420" w:firstLineChars="200"/>
        <w:jc w:val="left"/>
        <w:rPr>
          <w:i/>
          <w:color w:val="7F7F7F"/>
          <w:szCs w:val="21"/>
        </w:rPr>
      </w:pPr>
      <w:r>
        <w:rPr>
          <w:i/>
          <w:color w:val="7F7F7F"/>
          <w:szCs w:val="21"/>
        </w:rPr>
        <w:t>2.服务的内容和范围</w:t>
      </w:r>
    </w:p>
    <w:p>
      <w:pPr>
        <w:autoSpaceDE w:val="0"/>
        <w:autoSpaceDN w:val="0"/>
        <w:adjustRightInd w:val="0"/>
        <w:snapToGrid w:val="0"/>
        <w:spacing w:line="360" w:lineRule="auto"/>
        <w:ind w:left="210" w:leftChars="100" w:right="34" w:firstLine="420" w:firstLineChars="200"/>
        <w:jc w:val="left"/>
        <w:rPr>
          <w:i/>
          <w:color w:val="7F7F7F"/>
          <w:szCs w:val="21"/>
        </w:rPr>
      </w:pPr>
      <w:r>
        <w:rPr>
          <w:i/>
          <w:color w:val="7F7F7F"/>
          <w:szCs w:val="21"/>
        </w:rPr>
        <w:t>3.服务标准和原则</w:t>
      </w:r>
    </w:p>
    <w:p>
      <w:pPr>
        <w:autoSpaceDE w:val="0"/>
        <w:autoSpaceDN w:val="0"/>
        <w:adjustRightInd w:val="0"/>
        <w:snapToGrid w:val="0"/>
        <w:spacing w:line="360" w:lineRule="auto"/>
        <w:ind w:left="210" w:leftChars="100" w:right="34" w:firstLine="420" w:firstLineChars="200"/>
        <w:jc w:val="left"/>
        <w:rPr>
          <w:i/>
          <w:color w:val="7F7F7F"/>
          <w:szCs w:val="21"/>
        </w:rPr>
      </w:pPr>
      <w:r>
        <w:rPr>
          <w:i/>
          <w:color w:val="7F7F7F"/>
          <w:szCs w:val="21"/>
        </w:rPr>
        <w:t>4.服务质量保证</w:t>
      </w:r>
    </w:p>
    <w:p>
      <w:pPr>
        <w:autoSpaceDE w:val="0"/>
        <w:autoSpaceDN w:val="0"/>
        <w:adjustRightInd w:val="0"/>
        <w:snapToGrid w:val="0"/>
        <w:spacing w:line="360" w:lineRule="auto"/>
        <w:ind w:left="210" w:leftChars="100" w:right="34" w:firstLine="420" w:firstLineChars="200"/>
        <w:jc w:val="left"/>
        <w:rPr>
          <w:i/>
          <w:color w:val="7F7F7F"/>
          <w:szCs w:val="21"/>
        </w:rPr>
      </w:pPr>
      <w:r>
        <w:rPr>
          <w:i/>
          <w:color w:val="7F7F7F"/>
          <w:szCs w:val="21"/>
        </w:rPr>
        <w:t>5.服务交付物及交付计划</w:t>
      </w:r>
    </w:p>
    <w:p>
      <w:pPr>
        <w:autoSpaceDE w:val="0"/>
        <w:autoSpaceDN w:val="0"/>
        <w:adjustRightInd w:val="0"/>
        <w:snapToGrid w:val="0"/>
        <w:spacing w:line="360" w:lineRule="auto"/>
        <w:ind w:left="210" w:leftChars="100" w:right="34" w:firstLine="420" w:firstLineChars="200"/>
        <w:jc w:val="left"/>
        <w:rPr>
          <w:i/>
          <w:color w:val="7F7F7F"/>
          <w:szCs w:val="21"/>
        </w:rPr>
      </w:pPr>
      <w:r>
        <w:rPr>
          <w:i/>
          <w:color w:val="7F7F7F"/>
          <w:szCs w:val="21"/>
        </w:rPr>
        <w:br w:type="page"/>
      </w:r>
    </w:p>
    <w:p>
      <w:pPr>
        <w:spacing w:line="360" w:lineRule="auto"/>
        <w:outlineLvl w:val="0"/>
        <w:rPr>
          <w:b/>
          <w:szCs w:val="21"/>
        </w:rPr>
      </w:pPr>
      <w:r>
        <w:rPr>
          <w:b/>
          <w:szCs w:val="21"/>
        </w:rPr>
        <w:t>附件2.验收要求</w:t>
      </w:r>
    </w:p>
    <w:p>
      <w:pPr>
        <w:autoSpaceDE w:val="0"/>
        <w:autoSpaceDN w:val="0"/>
        <w:adjustRightInd w:val="0"/>
        <w:snapToGrid w:val="0"/>
        <w:spacing w:line="360" w:lineRule="auto"/>
        <w:ind w:left="210" w:leftChars="100" w:right="34" w:firstLine="420" w:firstLineChars="200"/>
        <w:jc w:val="left"/>
        <w:rPr>
          <w:i/>
          <w:color w:val="7F7F7F"/>
          <w:szCs w:val="21"/>
        </w:rPr>
      </w:pPr>
      <w:r>
        <w:rPr>
          <w:i/>
          <w:color w:val="7F7F7F"/>
          <w:szCs w:val="21"/>
        </w:rPr>
        <w:t>提出阶段性服务确认、最终验收成果及要求。</w:t>
      </w:r>
    </w:p>
    <w:p>
      <w:pPr>
        <w:autoSpaceDE w:val="0"/>
        <w:autoSpaceDN w:val="0"/>
        <w:adjustRightInd w:val="0"/>
        <w:snapToGrid w:val="0"/>
        <w:spacing w:line="360" w:lineRule="auto"/>
        <w:ind w:left="210" w:leftChars="100" w:right="34" w:firstLine="420" w:firstLineChars="200"/>
        <w:jc w:val="left"/>
        <w:rPr>
          <w:i/>
          <w:color w:val="7F7F7F"/>
          <w:szCs w:val="21"/>
        </w:rPr>
      </w:pPr>
      <w:r>
        <w:rPr>
          <w:i/>
          <w:color w:val="7F7F7F"/>
          <w:szCs w:val="21"/>
        </w:rPr>
        <w:t>验收要求包括但不限于服务交付、验收标准、验收方法、验收进度计划等。</w:t>
      </w:r>
    </w:p>
    <w:p>
      <w:pPr>
        <w:autoSpaceDE w:val="0"/>
        <w:autoSpaceDN w:val="0"/>
        <w:adjustRightInd w:val="0"/>
        <w:snapToGrid w:val="0"/>
        <w:spacing w:line="360" w:lineRule="auto"/>
        <w:ind w:left="210" w:leftChars="100" w:right="34" w:firstLine="420" w:firstLineChars="200"/>
        <w:jc w:val="left"/>
        <w:rPr>
          <w:i/>
          <w:color w:val="7F7F7F"/>
          <w:szCs w:val="21"/>
        </w:rPr>
      </w:pPr>
      <w:r>
        <w:rPr>
          <w:i/>
          <w:color w:val="7F7F7F"/>
          <w:szCs w:val="21"/>
        </w:rPr>
        <w:br w:type="page"/>
      </w:r>
    </w:p>
    <w:p>
      <w:pPr>
        <w:spacing w:line="360" w:lineRule="auto"/>
        <w:outlineLvl w:val="0"/>
        <w:rPr>
          <w:rFonts w:hint="eastAsia" w:eastAsia="等线"/>
          <w:b/>
          <w:szCs w:val="21"/>
          <w:lang w:val="en-US" w:eastAsia="zh-CN"/>
        </w:rPr>
      </w:pPr>
      <w:r>
        <w:rPr>
          <w:b/>
          <w:szCs w:val="21"/>
        </w:rPr>
        <w:t>附件3.乙方团队人员清单</w:t>
      </w:r>
      <w:r>
        <w:rPr>
          <w:rFonts w:hint="eastAsia"/>
          <w:b/>
          <w:szCs w:val="21"/>
          <w:lang w:eastAsia="zh-CN"/>
        </w:rPr>
        <w:t>（</w:t>
      </w:r>
      <w:r>
        <w:rPr>
          <w:rFonts w:hint="eastAsia"/>
          <w:b/>
          <w:szCs w:val="21"/>
          <w:lang w:val="en-US" w:eastAsia="zh-CN"/>
        </w:rPr>
        <w:t>若有</w:t>
      </w:r>
      <w:r>
        <w:rPr>
          <w:rFonts w:hint="eastAsia"/>
          <w:b/>
          <w:szCs w:val="21"/>
          <w:lang w:eastAsia="zh-CN"/>
        </w:rPr>
        <w:t>）</w:t>
      </w:r>
    </w:p>
    <w:p>
      <w:pPr>
        <w:autoSpaceDE w:val="0"/>
        <w:autoSpaceDN w:val="0"/>
        <w:adjustRightInd w:val="0"/>
        <w:snapToGrid w:val="0"/>
        <w:spacing w:line="360" w:lineRule="auto"/>
        <w:ind w:left="210" w:leftChars="100" w:right="34" w:firstLine="420" w:firstLineChars="200"/>
        <w:jc w:val="left"/>
        <w:rPr>
          <w:i/>
          <w:color w:val="7F7F7F"/>
          <w:szCs w:val="21"/>
        </w:rPr>
      </w:pPr>
      <w:r>
        <w:rPr>
          <w:i/>
          <w:color w:val="7F7F7F"/>
          <w:szCs w:val="21"/>
        </w:rPr>
        <w:t>提出乙方拟投入的团队人员名单，及各角色职责与分工。</w:t>
      </w:r>
    </w:p>
    <w:tbl>
      <w:tblPr>
        <w:tblStyle w:val="9"/>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845"/>
        <w:gridCol w:w="692"/>
        <w:gridCol w:w="693"/>
        <w:gridCol w:w="693"/>
        <w:gridCol w:w="829"/>
        <w:gridCol w:w="693"/>
        <w:gridCol w:w="1378"/>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82" w:type="dxa"/>
            <w:vAlign w:val="center"/>
          </w:tcPr>
          <w:p>
            <w:pPr>
              <w:adjustRightInd w:val="0"/>
              <w:spacing w:line="360" w:lineRule="atLeast"/>
              <w:jc w:val="center"/>
              <w:textAlignment w:val="baseline"/>
              <w:rPr>
                <w:rFonts w:hint="eastAsia" w:ascii="宋体" w:hAnsi="宋体" w:eastAsia="宋体" w:cs="宋体"/>
                <w:kern w:val="0"/>
                <w:szCs w:val="21"/>
              </w:rPr>
            </w:pPr>
            <w:r>
              <w:rPr>
                <w:rFonts w:hint="eastAsia" w:ascii="宋体" w:hAnsi="宋体" w:eastAsia="宋体" w:cs="宋体"/>
                <w:kern w:val="0"/>
                <w:szCs w:val="21"/>
              </w:rPr>
              <w:t>姓名</w:t>
            </w:r>
          </w:p>
        </w:tc>
        <w:tc>
          <w:tcPr>
            <w:tcW w:w="845" w:type="dxa"/>
            <w:vAlign w:val="center"/>
          </w:tcPr>
          <w:p>
            <w:pPr>
              <w:adjustRightInd w:val="0"/>
              <w:spacing w:line="360" w:lineRule="atLeast"/>
              <w:jc w:val="center"/>
              <w:textAlignment w:val="baseline"/>
              <w:rPr>
                <w:rFonts w:hint="eastAsia" w:ascii="宋体" w:hAnsi="宋体" w:eastAsia="宋体" w:cs="宋体"/>
                <w:kern w:val="0"/>
                <w:szCs w:val="21"/>
              </w:rPr>
            </w:pPr>
            <w:r>
              <w:rPr>
                <w:rFonts w:hint="eastAsia" w:ascii="宋体" w:hAnsi="宋体" w:eastAsia="宋体" w:cs="宋体"/>
                <w:kern w:val="0"/>
                <w:szCs w:val="21"/>
              </w:rPr>
              <w:t>性别</w:t>
            </w:r>
          </w:p>
        </w:tc>
        <w:tc>
          <w:tcPr>
            <w:tcW w:w="692" w:type="dxa"/>
            <w:vAlign w:val="center"/>
          </w:tcPr>
          <w:p>
            <w:pPr>
              <w:adjustRightInd w:val="0"/>
              <w:spacing w:line="360" w:lineRule="atLeast"/>
              <w:jc w:val="center"/>
              <w:textAlignment w:val="baseline"/>
              <w:rPr>
                <w:rFonts w:hint="eastAsia" w:ascii="宋体" w:hAnsi="宋体" w:eastAsia="宋体" w:cs="宋体"/>
                <w:kern w:val="0"/>
                <w:szCs w:val="21"/>
              </w:rPr>
            </w:pPr>
            <w:r>
              <w:rPr>
                <w:rFonts w:hint="eastAsia" w:ascii="宋体" w:hAnsi="宋体" w:eastAsia="宋体" w:cs="宋体"/>
                <w:kern w:val="0"/>
                <w:szCs w:val="21"/>
              </w:rPr>
              <w:t>年龄</w:t>
            </w:r>
          </w:p>
        </w:tc>
        <w:tc>
          <w:tcPr>
            <w:tcW w:w="693" w:type="dxa"/>
            <w:vAlign w:val="center"/>
          </w:tcPr>
          <w:p>
            <w:pPr>
              <w:adjustRightInd w:val="0"/>
              <w:spacing w:line="360" w:lineRule="atLeast"/>
              <w:jc w:val="center"/>
              <w:textAlignment w:val="baseline"/>
              <w:rPr>
                <w:rFonts w:hint="eastAsia" w:ascii="宋体" w:hAnsi="宋体" w:eastAsia="宋体" w:cs="宋体"/>
                <w:kern w:val="0"/>
                <w:szCs w:val="21"/>
              </w:rPr>
            </w:pPr>
            <w:r>
              <w:rPr>
                <w:rFonts w:hint="eastAsia" w:ascii="宋体" w:hAnsi="宋体" w:eastAsia="宋体" w:cs="宋体"/>
                <w:kern w:val="0"/>
                <w:szCs w:val="21"/>
              </w:rPr>
              <w:t>学历</w:t>
            </w:r>
          </w:p>
        </w:tc>
        <w:tc>
          <w:tcPr>
            <w:tcW w:w="693" w:type="dxa"/>
            <w:vAlign w:val="center"/>
          </w:tcPr>
          <w:p>
            <w:pPr>
              <w:adjustRightInd w:val="0"/>
              <w:spacing w:line="360" w:lineRule="atLeast"/>
              <w:jc w:val="center"/>
              <w:textAlignment w:val="baseline"/>
              <w:rPr>
                <w:rFonts w:hint="eastAsia" w:ascii="宋体" w:hAnsi="宋体" w:eastAsia="宋体" w:cs="宋体"/>
                <w:kern w:val="0"/>
                <w:szCs w:val="21"/>
              </w:rPr>
            </w:pPr>
            <w:r>
              <w:rPr>
                <w:rFonts w:hint="eastAsia" w:ascii="宋体" w:hAnsi="宋体" w:eastAsia="宋体" w:cs="宋体"/>
                <w:kern w:val="0"/>
                <w:szCs w:val="21"/>
              </w:rPr>
              <w:t>职称</w:t>
            </w:r>
          </w:p>
        </w:tc>
        <w:tc>
          <w:tcPr>
            <w:tcW w:w="829" w:type="dxa"/>
            <w:vAlign w:val="center"/>
          </w:tcPr>
          <w:p>
            <w:pPr>
              <w:adjustRightInd w:val="0"/>
              <w:spacing w:line="360" w:lineRule="atLeast"/>
              <w:jc w:val="center"/>
              <w:textAlignment w:val="baseline"/>
              <w:rPr>
                <w:rFonts w:hint="eastAsia" w:ascii="宋体" w:hAnsi="宋体" w:eastAsia="宋体" w:cs="宋体"/>
                <w:kern w:val="0"/>
                <w:szCs w:val="21"/>
              </w:rPr>
            </w:pPr>
            <w:r>
              <w:rPr>
                <w:rFonts w:hint="eastAsia" w:ascii="宋体" w:hAnsi="宋体" w:eastAsia="宋体" w:cs="宋体"/>
                <w:kern w:val="0"/>
                <w:szCs w:val="21"/>
              </w:rPr>
              <w:t>同类工作年限</w:t>
            </w:r>
          </w:p>
        </w:tc>
        <w:tc>
          <w:tcPr>
            <w:tcW w:w="693" w:type="dxa"/>
            <w:vAlign w:val="center"/>
          </w:tcPr>
          <w:p>
            <w:pPr>
              <w:adjustRightInd w:val="0"/>
              <w:spacing w:line="360" w:lineRule="atLeast"/>
              <w:jc w:val="center"/>
              <w:textAlignment w:val="baseline"/>
              <w:rPr>
                <w:rFonts w:hint="eastAsia" w:ascii="宋体" w:hAnsi="宋体" w:eastAsia="宋体" w:cs="宋体"/>
                <w:kern w:val="0"/>
                <w:szCs w:val="21"/>
              </w:rPr>
            </w:pPr>
            <w:r>
              <w:rPr>
                <w:rFonts w:hint="eastAsia" w:ascii="宋体" w:hAnsi="宋体" w:eastAsia="宋体" w:cs="宋体"/>
                <w:kern w:val="0"/>
                <w:szCs w:val="21"/>
              </w:rPr>
              <w:t>职务</w:t>
            </w:r>
          </w:p>
        </w:tc>
        <w:tc>
          <w:tcPr>
            <w:tcW w:w="1378" w:type="dxa"/>
            <w:vAlign w:val="center"/>
          </w:tcPr>
          <w:p>
            <w:pPr>
              <w:adjustRightInd w:val="0"/>
              <w:spacing w:line="360" w:lineRule="atLeast"/>
              <w:jc w:val="center"/>
              <w:textAlignment w:val="baseline"/>
              <w:rPr>
                <w:rFonts w:hint="eastAsia" w:ascii="宋体" w:hAnsi="宋体" w:eastAsia="宋体" w:cs="宋体"/>
                <w:kern w:val="0"/>
                <w:szCs w:val="21"/>
              </w:rPr>
            </w:pPr>
            <w:r>
              <w:rPr>
                <w:rFonts w:hint="eastAsia" w:ascii="宋体" w:hAnsi="宋体" w:eastAsia="宋体" w:cs="宋体"/>
                <w:kern w:val="0"/>
                <w:szCs w:val="21"/>
              </w:rPr>
              <w:t>项目角色</w:t>
            </w:r>
          </w:p>
        </w:tc>
        <w:tc>
          <w:tcPr>
            <w:tcW w:w="1933" w:type="dxa"/>
            <w:vAlign w:val="center"/>
          </w:tcPr>
          <w:p>
            <w:pPr>
              <w:adjustRightInd w:val="0"/>
              <w:spacing w:line="360" w:lineRule="atLeast"/>
              <w:jc w:val="center"/>
              <w:textAlignment w:val="baseline"/>
              <w:rPr>
                <w:rFonts w:hint="eastAsia" w:ascii="宋体" w:hAnsi="宋体" w:eastAsia="宋体" w:cs="宋体"/>
                <w:kern w:val="0"/>
                <w:szCs w:val="21"/>
              </w:rPr>
            </w:pPr>
            <w:r>
              <w:rPr>
                <w:rFonts w:hint="eastAsia" w:ascii="宋体" w:hAnsi="宋体" w:eastAsia="宋体" w:cs="宋体"/>
                <w:kern w:val="0"/>
                <w:szCs w:val="21"/>
              </w:rPr>
              <w:t>承担工作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pPr>
              <w:adjustRightInd w:val="0"/>
              <w:spacing w:line="360" w:lineRule="atLeast"/>
              <w:jc w:val="center"/>
              <w:textAlignment w:val="baseline"/>
              <w:rPr>
                <w:rFonts w:hint="eastAsia" w:ascii="宋体" w:hAnsi="宋体" w:eastAsia="宋体" w:cs="宋体"/>
                <w:color w:val="000000"/>
                <w:kern w:val="0"/>
                <w:szCs w:val="21"/>
              </w:rPr>
            </w:pPr>
          </w:p>
        </w:tc>
        <w:tc>
          <w:tcPr>
            <w:tcW w:w="845" w:type="dxa"/>
            <w:vAlign w:val="center"/>
          </w:tcPr>
          <w:p>
            <w:pPr>
              <w:adjustRightInd w:val="0"/>
              <w:spacing w:line="360" w:lineRule="atLeast"/>
              <w:jc w:val="center"/>
              <w:textAlignment w:val="baseline"/>
              <w:rPr>
                <w:rFonts w:hint="eastAsia" w:ascii="宋体" w:hAnsi="宋体" w:eastAsia="宋体" w:cs="宋体"/>
                <w:color w:val="000000"/>
                <w:kern w:val="0"/>
                <w:szCs w:val="21"/>
              </w:rPr>
            </w:pPr>
          </w:p>
        </w:tc>
        <w:tc>
          <w:tcPr>
            <w:tcW w:w="692" w:type="dxa"/>
            <w:vAlign w:val="center"/>
          </w:tcPr>
          <w:p>
            <w:pPr>
              <w:adjustRightInd w:val="0"/>
              <w:spacing w:line="360" w:lineRule="atLeast"/>
              <w:jc w:val="center"/>
              <w:textAlignment w:val="baseline"/>
              <w:rPr>
                <w:rFonts w:hint="eastAsia" w:ascii="宋体" w:hAnsi="宋体" w:eastAsia="宋体" w:cs="宋体"/>
                <w:color w:val="000000"/>
                <w:kern w:val="0"/>
                <w:szCs w:val="21"/>
              </w:rPr>
            </w:pPr>
          </w:p>
        </w:tc>
        <w:tc>
          <w:tcPr>
            <w:tcW w:w="693" w:type="dxa"/>
            <w:vAlign w:val="center"/>
          </w:tcPr>
          <w:p>
            <w:pPr>
              <w:adjustRightInd w:val="0"/>
              <w:spacing w:line="360" w:lineRule="atLeast"/>
              <w:jc w:val="center"/>
              <w:textAlignment w:val="baseline"/>
              <w:rPr>
                <w:rFonts w:hint="eastAsia" w:ascii="宋体" w:hAnsi="宋体" w:eastAsia="宋体" w:cs="宋体"/>
                <w:color w:val="000000"/>
                <w:kern w:val="0"/>
                <w:szCs w:val="21"/>
              </w:rPr>
            </w:pPr>
          </w:p>
        </w:tc>
        <w:tc>
          <w:tcPr>
            <w:tcW w:w="693" w:type="dxa"/>
            <w:vAlign w:val="center"/>
          </w:tcPr>
          <w:p>
            <w:pPr>
              <w:adjustRightInd w:val="0"/>
              <w:spacing w:line="360" w:lineRule="atLeast"/>
              <w:jc w:val="center"/>
              <w:textAlignment w:val="baseline"/>
              <w:rPr>
                <w:rFonts w:hint="eastAsia" w:ascii="宋体" w:hAnsi="宋体" w:eastAsia="宋体" w:cs="宋体"/>
                <w:color w:val="000000"/>
                <w:kern w:val="0"/>
                <w:szCs w:val="21"/>
              </w:rPr>
            </w:pPr>
          </w:p>
        </w:tc>
        <w:tc>
          <w:tcPr>
            <w:tcW w:w="829" w:type="dxa"/>
            <w:vAlign w:val="center"/>
          </w:tcPr>
          <w:p>
            <w:pPr>
              <w:adjustRightInd w:val="0"/>
              <w:spacing w:line="360" w:lineRule="atLeast"/>
              <w:jc w:val="center"/>
              <w:textAlignment w:val="baseline"/>
              <w:rPr>
                <w:rFonts w:hint="eastAsia" w:ascii="宋体" w:hAnsi="宋体" w:eastAsia="宋体" w:cs="宋体"/>
                <w:color w:val="000000"/>
                <w:kern w:val="0"/>
                <w:szCs w:val="21"/>
              </w:rPr>
            </w:pPr>
          </w:p>
        </w:tc>
        <w:tc>
          <w:tcPr>
            <w:tcW w:w="693" w:type="dxa"/>
            <w:vAlign w:val="center"/>
          </w:tcPr>
          <w:p>
            <w:pPr>
              <w:adjustRightInd w:val="0"/>
              <w:spacing w:line="360" w:lineRule="atLeast"/>
              <w:jc w:val="center"/>
              <w:textAlignment w:val="baseline"/>
              <w:rPr>
                <w:rFonts w:hint="eastAsia" w:ascii="宋体" w:hAnsi="宋体" w:eastAsia="宋体" w:cs="宋体"/>
                <w:color w:val="000000"/>
                <w:kern w:val="0"/>
                <w:szCs w:val="21"/>
              </w:rPr>
            </w:pPr>
          </w:p>
        </w:tc>
        <w:tc>
          <w:tcPr>
            <w:tcW w:w="1378" w:type="dxa"/>
            <w:vAlign w:val="center"/>
          </w:tcPr>
          <w:p>
            <w:pPr>
              <w:adjustRightInd w:val="0"/>
              <w:spacing w:line="360" w:lineRule="atLeast"/>
              <w:jc w:val="center"/>
              <w:textAlignment w:val="baseline"/>
              <w:rPr>
                <w:rFonts w:hint="eastAsia" w:ascii="宋体" w:hAnsi="宋体" w:eastAsia="宋体" w:cs="宋体"/>
                <w:color w:val="000000"/>
                <w:kern w:val="0"/>
                <w:szCs w:val="21"/>
              </w:rPr>
            </w:pPr>
          </w:p>
        </w:tc>
        <w:tc>
          <w:tcPr>
            <w:tcW w:w="1933" w:type="dxa"/>
            <w:vAlign w:val="center"/>
          </w:tcPr>
          <w:p>
            <w:pPr>
              <w:adjustRightInd w:val="0"/>
              <w:spacing w:line="360" w:lineRule="atLeast"/>
              <w:jc w:val="center"/>
              <w:textAlignment w:val="baseline"/>
              <w:rPr>
                <w:rFonts w:hint="eastAsia"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pPr>
              <w:adjustRightInd w:val="0"/>
              <w:spacing w:line="360" w:lineRule="atLeast"/>
              <w:jc w:val="center"/>
              <w:textAlignment w:val="baseline"/>
              <w:rPr>
                <w:rFonts w:hint="eastAsia" w:ascii="宋体" w:hAnsi="宋体" w:eastAsia="宋体" w:cs="宋体"/>
                <w:color w:val="000000"/>
                <w:kern w:val="0"/>
                <w:szCs w:val="21"/>
              </w:rPr>
            </w:pPr>
          </w:p>
        </w:tc>
        <w:tc>
          <w:tcPr>
            <w:tcW w:w="845" w:type="dxa"/>
            <w:vAlign w:val="center"/>
          </w:tcPr>
          <w:p>
            <w:pPr>
              <w:adjustRightInd w:val="0"/>
              <w:spacing w:line="360" w:lineRule="atLeast"/>
              <w:jc w:val="center"/>
              <w:textAlignment w:val="baseline"/>
              <w:rPr>
                <w:rFonts w:hint="eastAsia" w:ascii="宋体" w:hAnsi="宋体" w:eastAsia="宋体" w:cs="宋体"/>
                <w:color w:val="000000"/>
                <w:kern w:val="0"/>
                <w:szCs w:val="21"/>
              </w:rPr>
            </w:pPr>
          </w:p>
        </w:tc>
        <w:tc>
          <w:tcPr>
            <w:tcW w:w="692" w:type="dxa"/>
            <w:vAlign w:val="center"/>
          </w:tcPr>
          <w:p>
            <w:pPr>
              <w:adjustRightInd w:val="0"/>
              <w:spacing w:line="360" w:lineRule="atLeast"/>
              <w:jc w:val="center"/>
              <w:textAlignment w:val="baseline"/>
              <w:rPr>
                <w:rFonts w:hint="eastAsia" w:ascii="宋体" w:hAnsi="宋体" w:eastAsia="宋体" w:cs="宋体"/>
                <w:color w:val="000000"/>
                <w:kern w:val="0"/>
                <w:szCs w:val="21"/>
              </w:rPr>
            </w:pPr>
          </w:p>
        </w:tc>
        <w:tc>
          <w:tcPr>
            <w:tcW w:w="693" w:type="dxa"/>
            <w:vAlign w:val="center"/>
          </w:tcPr>
          <w:p>
            <w:pPr>
              <w:adjustRightInd w:val="0"/>
              <w:spacing w:line="360" w:lineRule="atLeast"/>
              <w:jc w:val="center"/>
              <w:textAlignment w:val="baseline"/>
              <w:rPr>
                <w:rFonts w:hint="eastAsia" w:ascii="宋体" w:hAnsi="宋体" w:eastAsia="宋体" w:cs="宋体"/>
                <w:color w:val="000000"/>
                <w:kern w:val="0"/>
                <w:szCs w:val="21"/>
              </w:rPr>
            </w:pPr>
          </w:p>
        </w:tc>
        <w:tc>
          <w:tcPr>
            <w:tcW w:w="693" w:type="dxa"/>
            <w:vAlign w:val="center"/>
          </w:tcPr>
          <w:p>
            <w:pPr>
              <w:adjustRightInd w:val="0"/>
              <w:spacing w:line="360" w:lineRule="atLeast"/>
              <w:jc w:val="center"/>
              <w:textAlignment w:val="baseline"/>
              <w:rPr>
                <w:rFonts w:hint="eastAsia" w:ascii="宋体" w:hAnsi="宋体" w:eastAsia="宋体" w:cs="宋体"/>
                <w:color w:val="000000"/>
                <w:kern w:val="0"/>
                <w:szCs w:val="21"/>
              </w:rPr>
            </w:pPr>
          </w:p>
        </w:tc>
        <w:tc>
          <w:tcPr>
            <w:tcW w:w="829" w:type="dxa"/>
            <w:vAlign w:val="center"/>
          </w:tcPr>
          <w:p>
            <w:pPr>
              <w:adjustRightInd w:val="0"/>
              <w:spacing w:line="360" w:lineRule="atLeast"/>
              <w:jc w:val="center"/>
              <w:textAlignment w:val="baseline"/>
              <w:rPr>
                <w:rFonts w:hint="eastAsia" w:ascii="宋体" w:hAnsi="宋体" w:eastAsia="宋体" w:cs="宋体"/>
                <w:color w:val="000000"/>
                <w:kern w:val="0"/>
                <w:szCs w:val="21"/>
              </w:rPr>
            </w:pPr>
          </w:p>
        </w:tc>
        <w:tc>
          <w:tcPr>
            <w:tcW w:w="693" w:type="dxa"/>
            <w:vAlign w:val="center"/>
          </w:tcPr>
          <w:p>
            <w:pPr>
              <w:adjustRightInd w:val="0"/>
              <w:spacing w:line="360" w:lineRule="atLeast"/>
              <w:jc w:val="center"/>
              <w:textAlignment w:val="baseline"/>
              <w:rPr>
                <w:rFonts w:hint="eastAsia" w:ascii="宋体" w:hAnsi="宋体" w:eastAsia="宋体" w:cs="宋体"/>
                <w:color w:val="000000"/>
                <w:kern w:val="0"/>
                <w:szCs w:val="21"/>
              </w:rPr>
            </w:pPr>
          </w:p>
        </w:tc>
        <w:tc>
          <w:tcPr>
            <w:tcW w:w="1378" w:type="dxa"/>
            <w:vAlign w:val="center"/>
          </w:tcPr>
          <w:p>
            <w:pPr>
              <w:adjustRightInd w:val="0"/>
              <w:spacing w:line="360" w:lineRule="atLeast"/>
              <w:jc w:val="center"/>
              <w:textAlignment w:val="baseline"/>
              <w:rPr>
                <w:rFonts w:hint="eastAsia" w:ascii="宋体" w:hAnsi="宋体" w:eastAsia="宋体" w:cs="宋体"/>
                <w:color w:val="000000"/>
                <w:kern w:val="0"/>
                <w:szCs w:val="21"/>
              </w:rPr>
            </w:pPr>
          </w:p>
        </w:tc>
        <w:tc>
          <w:tcPr>
            <w:tcW w:w="1933" w:type="dxa"/>
            <w:vAlign w:val="center"/>
          </w:tcPr>
          <w:p>
            <w:pPr>
              <w:adjustRightInd w:val="0"/>
              <w:spacing w:line="360" w:lineRule="atLeast"/>
              <w:jc w:val="center"/>
              <w:textAlignment w:val="baseline"/>
              <w:rPr>
                <w:rFonts w:hint="eastAsia"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pPr>
              <w:adjustRightInd w:val="0"/>
              <w:spacing w:line="360" w:lineRule="atLeast"/>
              <w:jc w:val="center"/>
              <w:textAlignment w:val="baseline"/>
              <w:rPr>
                <w:rFonts w:hint="eastAsia" w:ascii="宋体" w:hAnsi="宋体" w:eastAsia="宋体" w:cs="宋体"/>
                <w:color w:val="000000"/>
                <w:kern w:val="0"/>
                <w:szCs w:val="21"/>
              </w:rPr>
            </w:pPr>
          </w:p>
        </w:tc>
        <w:tc>
          <w:tcPr>
            <w:tcW w:w="845" w:type="dxa"/>
            <w:vAlign w:val="center"/>
          </w:tcPr>
          <w:p>
            <w:pPr>
              <w:adjustRightInd w:val="0"/>
              <w:spacing w:line="360" w:lineRule="atLeast"/>
              <w:jc w:val="center"/>
              <w:textAlignment w:val="baseline"/>
              <w:rPr>
                <w:rFonts w:hint="eastAsia" w:ascii="宋体" w:hAnsi="宋体" w:eastAsia="宋体" w:cs="宋体"/>
                <w:color w:val="000000"/>
                <w:kern w:val="0"/>
                <w:szCs w:val="21"/>
              </w:rPr>
            </w:pPr>
          </w:p>
        </w:tc>
        <w:tc>
          <w:tcPr>
            <w:tcW w:w="692" w:type="dxa"/>
            <w:vAlign w:val="center"/>
          </w:tcPr>
          <w:p>
            <w:pPr>
              <w:adjustRightInd w:val="0"/>
              <w:spacing w:line="360" w:lineRule="atLeast"/>
              <w:jc w:val="center"/>
              <w:textAlignment w:val="baseline"/>
              <w:rPr>
                <w:rFonts w:hint="eastAsia" w:ascii="宋体" w:hAnsi="宋体" w:eastAsia="宋体" w:cs="宋体"/>
                <w:color w:val="000000"/>
                <w:kern w:val="0"/>
                <w:szCs w:val="21"/>
              </w:rPr>
            </w:pPr>
          </w:p>
        </w:tc>
        <w:tc>
          <w:tcPr>
            <w:tcW w:w="693" w:type="dxa"/>
            <w:vAlign w:val="center"/>
          </w:tcPr>
          <w:p>
            <w:pPr>
              <w:adjustRightInd w:val="0"/>
              <w:spacing w:line="360" w:lineRule="atLeast"/>
              <w:jc w:val="center"/>
              <w:textAlignment w:val="baseline"/>
              <w:rPr>
                <w:rFonts w:hint="eastAsia" w:ascii="宋体" w:hAnsi="宋体" w:eastAsia="宋体" w:cs="宋体"/>
                <w:color w:val="000000"/>
                <w:kern w:val="0"/>
                <w:szCs w:val="21"/>
              </w:rPr>
            </w:pPr>
          </w:p>
        </w:tc>
        <w:tc>
          <w:tcPr>
            <w:tcW w:w="693" w:type="dxa"/>
            <w:vAlign w:val="center"/>
          </w:tcPr>
          <w:p>
            <w:pPr>
              <w:adjustRightInd w:val="0"/>
              <w:spacing w:line="360" w:lineRule="atLeast"/>
              <w:jc w:val="center"/>
              <w:textAlignment w:val="baseline"/>
              <w:rPr>
                <w:rFonts w:hint="eastAsia" w:ascii="宋体" w:hAnsi="宋体" w:eastAsia="宋体" w:cs="宋体"/>
                <w:color w:val="000000"/>
                <w:kern w:val="0"/>
                <w:szCs w:val="21"/>
              </w:rPr>
            </w:pPr>
          </w:p>
        </w:tc>
        <w:tc>
          <w:tcPr>
            <w:tcW w:w="829" w:type="dxa"/>
            <w:vAlign w:val="center"/>
          </w:tcPr>
          <w:p>
            <w:pPr>
              <w:adjustRightInd w:val="0"/>
              <w:spacing w:line="360" w:lineRule="atLeast"/>
              <w:jc w:val="center"/>
              <w:textAlignment w:val="baseline"/>
              <w:rPr>
                <w:rFonts w:hint="eastAsia" w:ascii="宋体" w:hAnsi="宋体" w:eastAsia="宋体" w:cs="宋体"/>
                <w:color w:val="000000"/>
                <w:kern w:val="0"/>
                <w:szCs w:val="21"/>
              </w:rPr>
            </w:pPr>
          </w:p>
        </w:tc>
        <w:tc>
          <w:tcPr>
            <w:tcW w:w="693" w:type="dxa"/>
            <w:vAlign w:val="center"/>
          </w:tcPr>
          <w:p>
            <w:pPr>
              <w:adjustRightInd w:val="0"/>
              <w:spacing w:line="360" w:lineRule="atLeast"/>
              <w:jc w:val="center"/>
              <w:textAlignment w:val="baseline"/>
              <w:rPr>
                <w:rFonts w:hint="eastAsia" w:ascii="宋体" w:hAnsi="宋体" w:eastAsia="宋体" w:cs="宋体"/>
                <w:color w:val="000000"/>
                <w:kern w:val="0"/>
                <w:szCs w:val="21"/>
              </w:rPr>
            </w:pPr>
          </w:p>
        </w:tc>
        <w:tc>
          <w:tcPr>
            <w:tcW w:w="1378" w:type="dxa"/>
            <w:vAlign w:val="center"/>
          </w:tcPr>
          <w:p>
            <w:pPr>
              <w:adjustRightInd w:val="0"/>
              <w:spacing w:line="360" w:lineRule="atLeast"/>
              <w:jc w:val="center"/>
              <w:textAlignment w:val="baseline"/>
              <w:rPr>
                <w:rFonts w:hint="eastAsia" w:ascii="宋体" w:hAnsi="宋体" w:eastAsia="宋体" w:cs="宋体"/>
                <w:color w:val="000000"/>
                <w:kern w:val="0"/>
                <w:szCs w:val="21"/>
              </w:rPr>
            </w:pPr>
          </w:p>
        </w:tc>
        <w:tc>
          <w:tcPr>
            <w:tcW w:w="1933" w:type="dxa"/>
            <w:vAlign w:val="center"/>
          </w:tcPr>
          <w:p>
            <w:pPr>
              <w:adjustRightInd w:val="0"/>
              <w:spacing w:line="360" w:lineRule="atLeast"/>
              <w:jc w:val="center"/>
              <w:textAlignment w:val="baseline"/>
              <w:rPr>
                <w:rFonts w:hint="eastAsia"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pPr>
              <w:adjustRightInd w:val="0"/>
              <w:spacing w:line="360" w:lineRule="atLeast"/>
              <w:jc w:val="center"/>
              <w:textAlignment w:val="baseline"/>
              <w:rPr>
                <w:rFonts w:hint="eastAsia" w:ascii="宋体" w:hAnsi="宋体" w:eastAsia="宋体" w:cs="宋体"/>
                <w:color w:val="000000"/>
                <w:kern w:val="0"/>
                <w:szCs w:val="21"/>
              </w:rPr>
            </w:pPr>
          </w:p>
        </w:tc>
        <w:tc>
          <w:tcPr>
            <w:tcW w:w="845" w:type="dxa"/>
            <w:vAlign w:val="center"/>
          </w:tcPr>
          <w:p>
            <w:pPr>
              <w:adjustRightInd w:val="0"/>
              <w:spacing w:line="360" w:lineRule="atLeast"/>
              <w:jc w:val="center"/>
              <w:textAlignment w:val="baseline"/>
              <w:rPr>
                <w:rFonts w:hint="eastAsia" w:ascii="宋体" w:hAnsi="宋体" w:eastAsia="宋体" w:cs="宋体"/>
                <w:color w:val="000000"/>
                <w:kern w:val="0"/>
                <w:szCs w:val="21"/>
              </w:rPr>
            </w:pPr>
          </w:p>
        </w:tc>
        <w:tc>
          <w:tcPr>
            <w:tcW w:w="692" w:type="dxa"/>
            <w:vAlign w:val="center"/>
          </w:tcPr>
          <w:p>
            <w:pPr>
              <w:adjustRightInd w:val="0"/>
              <w:spacing w:line="360" w:lineRule="atLeast"/>
              <w:jc w:val="center"/>
              <w:textAlignment w:val="baseline"/>
              <w:rPr>
                <w:rFonts w:hint="eastAsia" w:ascii="宋体" w:hAnsi="宋体" w:eastAsia="宋体" w:cs="宋体"/>
                <w:color w:val="000000"/>
                <w:kern w:val="0"/>
                <w:szCs w:val="21"/>
              </w:rPr>
            </w:pPr>
          </w:p>
        </w:tc>
        <w:tc>
          <w:tcPr>
            <w:tcW w:w="693" w:type="dxa"/>
            <w:vAlign w:val="center"/>
          </w:tcPr>
          <w:p>
            <w:pPr>
              <w:adjustRightInd w:val="0"/>
              <w:spacing w:line="360" w:lineRule="atLeast"/>
              <w:jc w:val="center"/>
              <w:textAlignment w:val="baseline"/>
              <w:rPr>
                <w:rFonts w:hint="eastAsia" w:ascii="宋体" w:hAnsi="宋体" w:eastAsia="宋体" w:cs="宋体"/>
                <w:color w:val="000000"/>
                <w:kern w:val="0"/>
                <w:szCs w:val="21"/>
              </w:rPr>
            </w:pPr>
          </w:p>
        </w:tc>
        <w:tc>
          <w:tcPr>
            <w:tcW w:w="693" w:type="dxa"/>
            <w:vAlign w:val="center"/>
          </w:tcPr>
          <w:p>
            <w:pPr>
              <w:adjustRightInd w:val="0"/>
              <w:spacing w:line="360" w:lineRule="atLeast"/>
              <w:jc w:val="center"/>
              <w:textAlignment w:val="baseline"/>
              <w:rPr>
                <w:rFonts w:hint="eastAsia" w:ascii="宋体" w:hAnsi="宋体" w:eastAsia="宋体" w:cs="宋体"/>
                <w:color w:val="000000"/>
                <w:kern w:val="0"/>
                <w:szCs w:val="21"/>
              </w:rPr>
            </w:pPr>
          </w:p>
        </w:tc>
        <w:tc>
          <w:tcPr>
            <w:tcW w:w="829" w:type="dxa"/>
            <w:vAlign w:val="center"/>
          </w:tcPr>
          <w:p>
            <w:pPr>
              <w:adjustRightInd w:val="0"/>
              <w:spacing w:line="360" w:lineRule="atLeast"/>
              <w:jc w:val="center"/>
              <w:textAlignment w:val="baseline"/>
              <w:rPr>
                <w:rFonts w:hint="eastAsia" w:ascii="宋体" w:hAnsi="宋体" w:eastAsia="宋体" w:cs="宋体"/>
                <w:color w:val="000000"/>
                <w:kern w:val="0"/>
                <w:szCs w:val="21"/>
              </w:rPr>
            </w:pPr>
          </w:p>
        </w:tc>
        <w:tc>
          <w:tcPr>
            <w:tcW w:w="693" w:type="dxa"/>
            <w:vAlign w:val="center"/>
          </w:tcPr>
          <w:p>
            <w:pPr>
              <w:adjustRightInd w:val="0"/>
              <w:spacing w:line="360" w:lineRule="atLeast"/>
              <w:jc w:val="center"/>
              <w:textAlignment w:val="baseline"/>
              <w:rPr>
                <w:rFonts w:hint="eastAsia" w:ascii="宋体" w:hAnsi="宋体" w:eastAsia="宋体" w:cs="宋体"/>
                <w:color w:val="000000"/>
                <w:kern w:val="0"/>
                <w:szCs w:val="21"/>
              </w:rPr>
            </w:pPr>
          </w:p>
        </w:tc>
        <w:tc>
          <w:tcPr>
            <w:tcW w:w="1378" w:type="dxa"/>
            <w:vAlign w:val="center"/>
          </w:tcPr>
          <w:p>
            <w:pPr>
              <w:adjustRightInd w:val="0"/>
              <w:spacing w:line="360" w:lineRule="atLeast"/>
              <w:jc w:val="center"/>
              <w:textAlignment w:val="baseline"/>
              <w:rPr>
                <w:rFonts w:hint="eastAsia" w:ascii="宋体" w:hAnsi="宋体" w:eastAsia="宋体" w:cs="宋体"/>
                <w:color w:val="000000"/>
                <w:kern w:val="0"/>
                <w:szCs w:val="21"/>
              </w:rPr>
            </w:pPr>
          </w:p>
        </w:tc>
        <w:tc>
          <w:tcPr>
            <w:tcW w:w="1933" w:type="dxa"/>
            <w:vAlign w:val="center"/>
          </w:tcPr>
          <w:p>
            <w:pPr>
              <w:adjustRightInd w:val="0"/>
              <w:spacing w:line="360" w:lineRule="atLeast"/>
              <w:jc w:val="center"/>
              <w:textAlignment w:val="baseline"/>
              <w:rPr>
                <w:rFonts w:hint="eastAsia"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pPr>
              <w:adjustRightInd w:val="0"/>
              <w:spacing w:line="360" w:lineRule="atLeast"/>
              <w:jc w:val="center"/>
              <w:textAlignment w:val="baseline"/>
              <w:rPr>
                <w:rFonts w:hint="eastAsia" w:ascii="宋体" w:hAnsi="宋体" w:eastAsia="宋体" w:cs="宋体"/>
                <w:color w:val="000000"/>
                <w:kern w:val="0"/>
                <w:szCs w:val="21"/>
              </w:rPr>
            </w:pPr>
          </w:p>
        </w:tc>
        <w:tc>
          <w:tcPr>
            <w:tcW w:w="845" w:type="dxa"/>
            <w:vAlign w:val="center"/>
          </w:tcPr>
          <w:p>
            <w:pPr>
              <w:adjustRightInd w:val="0"/>
              <w:spacing w:line="360" w:lineRule="atLeast"/>
              <w:jc w:val="center"/>
              <w:textAlignment w:val="baseline"/>
              <w:rPr>
                <w:rFonts w:hint="eastAsia" w:ascii="宋体" w:hAnsi="宋体" w:eastAsia="宋体" w:cs="宋体"/>
                <w:color w:val="000000"/>
                <w:kern w:val="0"/>
                <w:szCs w:val="21"/>
              </w:rPr>
            </w:pPr>
          </w:p>
        </w:tc>
        <w:tc>
          <w:tcPr>
            <w:tcW w:w="692" w:type="dxa"/>
            <w:vAlign w:val="center"/>
          </w:tcPr>
          <w:p>
            <w:pPr>
              <w:adjustRightInd w:val="0"/>
              <w:spacing w:line="360" w:lineRule="atLeast"/>
              <w:jc w:val="center"/>
              <w:textAlignment w:val="baseline"/>
              <w:rPr>
                <w:rFonts w:hint="eastAsia" w:ascii="宋体" w:hAnsi="宋体" w:eastAsia="宋体" w:cs="宋体"/>
                <w:color w:val="000000"/>
                <w:kern w:val="0"/>
                <w:szCs w:val="21"/>
              </w:rPr>
            </w:pPr>
          </w:p>
        </w:tc>
        <w:tc>
          <w:tcPr>
            <w:tcW w:w="693" w:type="dxa"/>
            <w:vAlign w:val="center"/>
          </w:tcPr>
          <w:p>
            <w:pPr>
              <w:adjustRightInd w:val="0"/>
              <w:spacing w:line="360" w:lineRule="atLeast"/>
              <w:jc w:val="center"/>
              <w:textAlignment w:val="baseline"/>
              <w:rPr>
                <w:rFonts w:hint="eastAsia" w:ascii="宋体" w:hAnsi="宋体" w:eastAsia="宋体" w:cs="宋体"/>
                <w:color w:val="000000"/>
                <w:kern w:val="0"/>
                <w:szCs w:val="21"/>
              </w:rPr>
            </w:pPr>
          </w:p>
        </w:tc>
        <w:tc>
          <w:tcPr>
            <w:tcW w:w="693" w:type="dxa"/>
            <w:vAlign w:val="center"/>
          </w:tcPr>
          <w:p>
            <w:pPr>
              <w:adjustRightInd w:val="0"/>
              <w:spacing w:line="360" w:lineRule="atLeast"/>
              <w:jc w:val="center"/>
              <w:textAlignment w:val="baseline"/>
              <w:rPr>
                <w:rFonts w:hint="eastAsia" w:ascii="宋体" w:hAnsi="宋体" w:eastAsia="宋体" w:cs="宋体"/>
                <w:color w:val="000000"/>
                <w:kern w:val="0"/>
                <w:szCs w:val="21"/>
              </w:rPr>
            </w:pPr>
          </w:p>
        </w:tc>
        <w:tc>
          <w:tcPr>
            <w:tcW w:w="829" w:type="dxa"/>
            <w:vAlign w:val="center"/>
          </w:tcPr>
          <w:p>
            <w:pPr>
              <w:adjustRightInd w:val="0"/>
              <w:spacing w:line="360" w:lineRule="atLeast"/>
              <w:jc w:val="center"/>
              <w:textAlignment w:val="baseline"/>
              <w:rPr>
                <w:rFonts w:hint="eastAsia" w:ascii="宋体" w:hAnsi="宋体" w:eastAsia="宋体" w:cs="宋体"/>
                <w:color w:val="000000"/>
                <w:kern w:val="0"/>
                <w:szCs w:val="21"/>
              </w:rPr>
            </w:pPr>
          </w:p>
        </w:tc>
        <w:tc>
          <w:tcPr>
            <w:tcW w:w="693" w:type="dxa"/>
            <w:vAlign w:val="center"/>
          </w:tcPr>
          <w:p>
            <w:pPr>
              <w:adjustRightInd w:val="0"/>
              <w:spacing w:line="360" w:lineRule="atLeast"/>
              <w:jc w:val="center"/>
              <w:textAlignment w:val="baseline"/>
              <w:rPr>
                <w:rFonts w:hint="eastAsia" w:ascii="宋体" w:hAnsi="宋体" w:eastAsia="宋体" w:cs="宋体"/>
                <w:color w:val="000000"/>
                <w:kern w:val="0"/>
                <w:szCs w:val="21"/>
              </w:rPr>
            </w:pPr>
          </w:p>
        </w:tc>
        <w:tc>
          <w:tcPr>
            <w:tcW w:w="1378" w:type="dxa"/>
            <w:vAlign w:val="center"/>
          </w:tcPr>
          <w:p>
            <w:pPr>
              <w:adjustRightInd w:val="0"/>
              <w:spacing w:line="360" w:lineRule="atLeast"/>
              <w:jc w:val="center"/>
              <w:textAlignment w:val="baseline"/>
              <w:rPr>
                <w:rFonts w:hint="eastAsia" w:ascii="宋体" w:hAnsi="宋体" w:eastAsia="宋体" w:cs="宋体"/>
                <w:color w:val="000000"/>
                <w:kern w:val="0"/>
                <w:szCs w:val="21"/>
              </w:rPr>
            </w:pPr>
          </w:p>
        </w:tc>
        <w:tc>
          <w:tcPr>
            <w:tcW w:w="1933" w:type="dxa"/>
            <w:vAlign w:val="center"/>
          </w:tcPr>
          <w:p>
            <w:pPr>
              <w:adjustRightInd w:val="0"/>
              <w:spacing w:line="360" w:lineRule="atLeast"/>
              <w:jc w:val="center"/>
              <w:textAlignment w:val="baseline"/>
              <w:rPr>
                <w:rFonts w:hint="eastAsia"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8538" w:type="dxa"/>
            <w:gridSpan w:val="9"/>
            <w:vAlign w:val="top"/>
          </w:tcPr>
          <w:p>
            <w:pPr>
              <w:adjustRightInd w:val="0"/>
              <w:spacing w:line="360" w:lineRule="atLeast"/>
              <w:jc w:val="center"/>
              <w:textAlignment w:val="baseline"/>
              <w:rPr>
                <w:rFonts w:hint="eastAsia" w:ascii="宋体" w:hAnsi="宋体" w:eastAsia="宋体" w:cs="宋体"/>
                <w:kern w:val="0"/>
                <w:szCs w:val="21"/>
              </w:rPr>
            </w:pPr>
            <w:r>
              <w:rPr>
                <w:rFonts w:hint="eastAsia" w:ascii="宋体" w:hAnsi="宋体" w:eastAsia="宋体" w:cs="宋体"/>
                <w:kern w:val="0"/>
                <w:szCs w:val="21"/>
              </w:rPr>
              <w:t>项目主要人员简历（毕业院校、曾任职、专长、承担同类项目历史情况）</w:t>
            </w:r>
          </w:p>
          <w:p>
            <w:pPr>
              <w:adjustRightInd w:val="0"/>
              <w:spacing w:line="360" w:lineRule="atLeast"/>
              <w:jc w:val="center"/>
              <w:textAlignment w:val="baseline"/>
              <w:rPr>
                <w:rFonts w:hint="eastAsia" w:ascii="宋体" w:hAnsi="宋体" w:eastAsia="宋体" w:cs="宋体"/>
                <w:kern w:val="0"/>
                <w:szCs w:val="21"/>
              </w:rPr>
            </w:pPr>
          </w:p>
        </w:tc>
      </w:tr>
    </w:tbl>
    <w:p>
      <w:pPr>
        <w:wordWrap w:val="0"/>
        <w:ind w:firstLine="560" w:firstLineChars="200"/>
        <w:jc w:val="right"/>
        <w:rPr>
          <w:rFonts w:ascii="Times New Roman" w:hAnsi="Times New Roman" w:eastAsia="楷体_GB2312"/>
          <w:color w:val="000000"/>
          <w:sz w:val="28"/>
          <w:szCs w:val="28"/>
        </w:rPr>
      </w:pPr>
      <w:r>
        <w:rPr>
          <w:rFonts w:ascii="Times New Roman" w:hAnsi="Times New Roman" w:eastAsia="楷体_GB2312"/>
          <w:color w:val="000000"/>
          <w:sz w:val="28"/>
          <w:szCs w:val="28"/>
        </w:rPr>
        <w:t xml:space="preserve">   </w:t>
      </w:r>
    </w:p>
    <w:p>
      <w:pPr>
        <w:wordWrap/>
        <w:ind w:firstLine="0" w:firstLineChars="0"/>
        <w:jc w:val="left"/>
        <w:rPr>
          <w:rFonts w:ascii="Times New Roman" w:hAnsi="Times New Roman" w:eastAsia="楷体_GB2312"/>
          <w:color w:val="000000"/>
          <w:sz w:val="28"/>
          <w:szCs w:val="28"/>
        </w:rPr>
      </w:pPr>
      <w:r>
        <w:rPr>
          <w:rFonts w:ascii="Times New Roman" w:hAnsi="Times New Roman" w:eastAsia="楷体_GB2312"/>
          <w:color w:val="000000"/>
          <w:sz w:val="28"/>
          <w:szCs w:val="28"/>
        </w:rPr>
        <w:br w:type="page"/>
      </w:r>
    </w:p>
    <w:p>
      <w:pPr>
        <w:wordWrap/>
        <w:spacing w:line="360" w:lineRule="auto"/>
        <w:ind w:firstLine="0" w:firstLineChars="0"/>
        <w:jc w:val="left"/>
        <w:outlineLvl w:val="0"/>
        <w:rPr>
          <w:rFonts w:hint="default" w:ascii="Calibri" w:hAnsi="Calibri" w:eastAsia="宋体"/>
          <w:b/>
          <w:color w:val="000000"/>
          <w:sz w:val="21"/>
          <w:szCs w:val="21"/>
        </w:rPr>
      </w:pPr>
      <w:r>
        <w:rPr>
          <w:rFonts w:hint="default" w:ascii="Calibri" w:hAnsi="Calibri" w:eastAsia="宋体"/>
          <w:b/>
          <w:color w:val="000000"/>
          <w:sz w:val="21"/>
          <w:szCs w:val="21"/>
          <w:lang w:val="en-US" w:eastAsia="zh-CN"/>
        </w:rPr>
        <w:t>附件</w:t>
      </w:r>
      <w:r>
        <w:rPr>
          <w:rFonts w:hint="default" w:ascii="Calibri" w:hAnsi="Calibri" w:eastAsia="宋体"/>
          <w:b/>
          <w:color w:val="000000"/>
          <w:sz w:val="21"/>
          <w:szCs w:val="21"/>
        </w:rPr>
        <w:t>4.服务价格明细（若有）</w:t>
      </w:r>
    </w:p>
    <w:p>
      <w:pPr>
        <w:wordWrap/>
        <w:ind w:firstLine="560" w:firstLineChars="200"/>
        <w:jc w:val="left"/>
        <w:rPr>
          <w:rFonts w:hint="eastAsia" w:ascii="Times New Roman" w:hAnsi="Times New Roman" w:eastAsia="楷体_GB2312"/>
          <w:color w:val="000000"/>
          <w:sz w:val="28"/>
          <w:szCs w:val="28"/>
        </w:rPr>
      </w:pPr>
    </w:p>
    <w:p>
      <w:pPr>
        <w:wordWrap/>
        <w:ind w:firstLine="0" w:firstLineChars="0"/>
        <w:jc w:val="left"/>
        <w:rPr>
          <w:rFonts w:hint="eastAsia" w:ascii="Times New Roman" w:hAnsi="Times New Roman" w:eastAsia="楷体_GB2312"/>
          <w:color w:val="000000"/>
          <w:sz w:val="28"/>
          <w:szCs w:val="28"/>
        </w:rPr>
      </w:pPr>
      <w:r>
        <w:rPr>
          <w:rFonts w:hint="eastAsia" w:ascii="Times New Roman" w:hAnsi="Times New Roman" w:eastAsia="楷体_GB2312"/>
          <w:color w:val="000000"/>
          <w:sz w:val="28"/>
          <w:szCs w:val="28"/>
        </w:rPr>
        <w:br w:type="page"/>
      </w:r>
    </w:p>
    <w:p>
      <w:pPr>
        <w:wordWrap/>
        <w:spacing w:line="360" w:lineRule="auto"/>
        <w:ind w:firstLine="0" w:firstLineChars="0"/>
        <w:jc w:val="left"/>
        <w:outlineLvl w:val="0"/>
        <w:rPr>
          <w:rFonts w:hint="default" w:ascii="Calibri" w:hAnsi="Calibri" w:eastAsia="宋体"/>
          <w:b/>
          <w:color w:val="000000"/>
          <w:sz w:val="21"/>
          <w:szCs w:val="21"/>
        </w:rPr>
      </w:pPr>
      <w:r>
        <w:rPr>
          <w:rFonts w:hint="eastAsia"/>
          <w:b/>
          <w:sz w:val="21"/>
          <w:szCs w:val="21"/>
          <w:lang w:val="en-US" w:eastAsia="zh-CN"/>
        </w:rPr>
        <w:t>附件5.</w:t>
      </w:r>
      <w:r>
        <w:rPr>
          <w:rFonts w:hint="default" w:ascii="Calibri" w:hAnsi="Calibri" w:eastAsia="宋体"/>
          <w:b/>
          <w:color w:val="000000"/>
          <w:sz w:val="21"/>
          <w:szCs w:val="21"/>
        </w:rPr>
        <w:t>保密承诺书</w:t>
      </w:r>
    </w:p>
    <w:p>
      <w:pPr>
        <w:spacing w:line="360" w:lineRule="auto"/>
        <w:jc w:val="center"/>
        <w:rPr>
          <w:rFonts w:hint="eastAsia" w:ascii="宋体" w:hAnsi="宋体" w:eastAsia="宋体" w:cs="宋体"/>
          <w:b/>
          <w:szCs w:val="21"/>
        </w:rPr>
      </w:pPr>
      <w:r>
        <w:rPr>
          <w:rFonts w:hint="eastAsia" w:ascii="宋体" w:hAnsi="宋体" w:eastAsia="宋体" w:cs="宋体"/>
          <w:b/>
          <w:szCs w:val="21"/>
        </w:rPr>
        <w:t>保密承诺书</w:t>
      </w:r>
    </w:p>
    <w:p>
      <w:pPr>
        <w:spacing w:line="240" w:lineRule="auto"/>
        <w:ind w:firstLine="420" w:firstLineChars="200"/>
        <w:rPr>
          <w:rFonts w:ascii="宋体" w:hAnsi="宋体" w:eastAsia="宋体" w:cs="宋体"/>
          <w:szCs w:val="21"/>
          <w:u w:val="single"/>
        </w:rPr>
      </w:pPr>
      <w:r>
        <w:rPr>
          <w:rFonts w:hint="eastAsia" w:ascii="宋体" w:hAnsi="宋体" w:eastAsia="宋体" w:cs="宋体"/>
          <w:szCs w:val="21"/>
        </w:rPr>
        <w:t>致：广东省政务服务数据管理局</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为保护合作方甲方的合法利益，保证合作双方实现顺利合作，避免因信息泄露而给甲方造成损失，本项目的服务方以及参与本项目的所有员工承诺遵守本保密协议内容。</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一、保密信息定义</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本协议所称的“保密信息”是指所有涉密信息、商业秘密、技术秘密、通信或与该项目相关的其他信息，无论是书面的、口头的、图形的、电磁的或其它任何形式的信息，包括（但不限于）数据、用户名、口令、产品、文件、规划、方案、技术、方法、仪器设备和其它信息及文档等，上述信息在本项目以如下形式确定：</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1.甲方在项目实施中为乙方及乙方工作人员提供必要的数据、程序、用户名、口令和资料等；</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2.在对甲方提供服务工作中涉及的业务及技术文档，包括政策、方案设计细节、程序文件、数据结构，以及相关业务系统的硬软件、文档，测试和测试产生的数据等；</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3.服务过程中产生的所有成果为保密的内容；</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4.其他甲方合理认为并申明属于保密信息的内容。</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二、保密要求</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我公司在国家相关法律法规、规章政策所规定的前提下，全力限制“保密信息”的使用范围以利保密防范，并仅用于为甲方提供服务。在未经甲方书面形式授权下，我公司不会直接或间接使用“项目资料”的利益或目的性的任何专有信息，亦不会把任何专用信息披露给他人，我公司的所有员工均有义务受约束，并负有保密的义务。</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1.承诺人始终对保密资料保密，不在项目之外使用甲方提供的保密信息及因履行本项目而掌握的保密信息。</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2.未经甲方书面同意，不向任何第三方提供保密信息以及可以接触上述保密信息的手段，包括在公开场合展览，公开对外宣传，作为文章、讯息、参考数据发表等。</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3.只向项目相关人员（包括各自的领导﹑同事和雇员等）为商讨合作项目而有需要知悉保密信息的人士披露保密信息；并保证上述各相关人员的行为将会符合本守则的规定。</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4.在商讨合作项目的过程中，若需向第三方披露对方的保密信息，应事先取得甲方书面许可，并要求该第三方不得向任何其它人士泄露保密信息。</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5.有关保密的内容和义务，未经甲方解封则长期有效。</w:t>
      </w:r>
    </w:p>
    <w:p>
      <w:pPr>
        <w:spacing w:line="240" w:lineRule="auto"/>
        <w:ind w:firstLine="420" w:firstLineChars="200"/>
        <w:rPr>
          <w:rFonts w:hint="eastAsia" w:ascii="宋体" w:hAnsi="宋体" w:eastAsia="宋体" w:cs="宋体"/>
          <w:szCs w:val="21"/>
        </w:rPr>
      </w:pPr>
    </w:p>
    <w:p>
      <w:pPr>
        <w:spacing w:line="240" w:lineRule="auto"/>
        <w:ind w:firstLine="4200" w:firstLineChars="2000"/>
        <w:jc w:val="left"/>
        <w:rPr>
          <w:rFonts w:hint="eastAsia" w:ascii="宋体" w:hAnsi="宋体" w:eastAsia="宋体" w:cs="宋体"/>
          <w:szCs w:val="21"/>
        </w:rPr>
      </w:pPr>
      <w:r>
        <w:rPr>
          <w:rFonts w:hint="eastAsia" w:ascii="宋体" w:hAnsi="宋体" w:eastAsia="宋体" w:cs="宋体"/>
          <w:szCs w:val="21"/>
        </w:rPr>
        <w:t xml:space="preserve">承诺人：                                   </w:t>
      </w:r>
    </w:p>
    <w:p>
      <w:pPr>
        <w:spacing w:line="240" w:lineRule="auto"/>
        <w:ind w:firstLine="420" w:firstLineChars="200"/>
        <w:jc w:val="right"/>
        <w:rPr>
          <w:rFonts w:hint="eastAsia" w:ascii="宋体" w:hAnsi="宋体" w:eastAsia="宋体" w:cs="宋体"/>
          <w:szCs w:val="21"/>
        </w:rPr>
      </w:pPr>
      <w:r>
        <w:rPr>
          <w:rFonts w:hint="eastAsia" w:ascii="宋体" w:hAnsi="宋体" w:eastAsia="宋体" w:cs="宋体"/>
          <w:szCs w:val="21"/>
        </w:rPr>
        <w:t>（法定代表人或委托代理人签字并盖单位公章）</w:t>
      </w:r>
    </w:p>
    <w:p>
      <w:pPr>
        <w:numPr>
          <w:ilvl w:val="-1"/>
          <w:numId w:val="0"/>
        </w:numPr>
        <w:wordWrap/>
        <w:spacing w:line="240" w:lineRule="auto"/>
        <w:ind w:firstLine="4200" w:firstLineChars="2000"/>
        <w:jc w:val="left"/>
        <w:rPr>
          <w:rFonts w:hint="eastAsia" w:ascii="Times New Roman" w:hAnsi="Times New Roman" w:eastAsia="楷体_GB2312"/>
          <w:color w:val="000000"/>
          <w:sz w:val="28"/>
          <w:szCs w:val="28"/>
        </w:rPr>
      </w:pPr>
      <w:r>
        <w:rPr>
          <w:rFonts w:hint="eastAsia" w:ascii="宋体" w:hAnsi="宋体" w:eastAsia="宋体" w:cs="宋体"/>
          <w:szCs w:val="21"/>
        </w:rPr>
        <w:t xml:space="preserve">日  期：                                  </w:t>
      </w:r>
    </w:p>
    <w:p>
      <w:pPr>
        <w:wordWrap/>
        <w:ind w:firstLine="0" w:firstLineChars="0"/>
        <w:jc w:val="left"/>
        <w:rPr>
          <w:rFonts w:hint="eastAsia" w:ascii="Times New Roman" w:hAnsi="Times New Roman" w:eastAsia="楷体_GB2312"/>
          <w:color w:val="000000"/>
          <w:sz w:val="28"/>
          <w:szCs w:val="28"/>
        </w:rPr>
      </w:pPr>
      <w:r>
        <w:rPr>
          <w:rFonts w:hint="eastAsia" w:ascii="Times New Roman" w:hAnsi="Times New Roman" w:eastAsia="楷体_GB2312"/>
          <w:color w:val="000000"/>
          <w:sz w:val="28"/>
          <w:szCs w:val="28"/>
        </w:rPr>
        <w:br w:type="page"/>
      </w:r>
    </w:p>
    <w:p>
      <w:pPr>
        <w:wordWrap/>
        <w:spacing w:line="360" w:lineRule="auto"/>
        <w:ind w:firstLine="0" w:firstLineChars="0"/>
        <w:jc w:val="left"/>
        <w:outlineLvl w:val="0"/>
        <w:rPr>
          <w:rFonts w:hint="default" w:ascii="Calibri" w:hAnsi="Calibri" w:eastAsia="宋体"/>
          <w:b/>
          <w:color w:val="000000"/>
          <w:sz w:val="21"/>
          <w:szCs w:val="21"/>
        </w:rPr>
      </w:pPr>
      <w:r>
        <w:rPr>
          <w:rFonts w:hint="eastAsia"/>
          <w:b/>
          <w:sz w:val="21"/>
          <w:szCs w:val="21"/>
          <w:lang w:val="en-US" w:eastAsia="zh-CN"/>
        </w:rPr>
        <w:t>附件6.</w:t>
      </w:r>
      <w:r>
        <w:rPr>
          <w:rFonts w:hint="default" w:ascii="Calibri" w:hAnsi="Calibri" w:eastAsia="宋体"/>
          <w:b/>
          <w:color w:val="000000"/>
          <w:sz w:val="21"/>
          <w:szCs w:val="21"/>
        </w:rPr>
        <w:t>反商业贿赂协议</w:t>
      </w:r>
    </w:p>
    <w:p>
      <w:pPr>
        <w:spacing w:line="360" w:lineRule="auto"/>
        <w:rPr>
          <w:b/>
          <w:szCs w:val="21"/>
        </w:rPr>
      </w:pPr>
    </w:p>
    <w:p>
      <w:pPr>
        <w:spacing w:line="360" w:lineRule="auto"/>
        <w:jc w:val="center"/>
        <w:rPr>
          <w:rFonts w:hint="eastAsia" w:ascii="宋体" w:hAnsi="宋体" w:eastAsia="宋体" w:cs="宋体"/>
          <w:b/>
          <w:szCs w:val="21"/>
        </w:rPr>
      </w:pPr>
      <w:r>
        <w:rPr>
          <w:rFonts w:hint="eastAsia" w:ascii="宋体" w:hAnsi="宋体" w:eastAsia="宋体" w:cs="宋体"/>
          <w:b/>
          <w:szCs w:val="21"/>
        </w:rPr>
        <w:t>反商业贿赂协议</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根据《关于开展治理商业贿赂专项工作的意见》（中办发[2006]9号）以及有关项目服务、廉政建设的规定，为做好项目服务中的反商业贿赂工作，建立起责任机制、督查机制和保障机制，保证项目服务高效优质，保证建设资金的安全和有效使用以及投资效益，本项目甲方与乙方特订立如下协议。</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一、甲乙双方的权利和义务</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1.严格遵守党的政策规定和国家有关法律法规及广东省委、省政府关于反商业贿赂和加强党风廉政建设的有关规定。</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2.严格执行本项目的合同文件，自觉按合同办事。</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3.双方的业务活动坚持公开、公正、诚信、透明的原则（法律认定的商业秘密和合同文件另有规定除外），不得损害国家和集体利益，违反项目管理规章制度。</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4.建立健全反商业贿赂和廉政制度，开展相关教育，设立反商业贿赂和廉政告示牌。公布举报电话，监督并认真查处违法违纪行为。</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5.发现对方在业务活动中有违反商业贿赂和廉政规定的行为，有及时提醒对方纠正的权利和义务。</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6.发现对方严重违反合同义务条款的行为，有向其上级有关部门举报、建议给予处理并要求告知处理结果的权利。</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7.双方或双方与系统设计、软件开发、系统集成、设备材料供应等相关单位不得串通、弄虚作假谋取不正当利益或降低服务质量等损害国家利益。</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8.乙方遵守《反商业贿赂协议》情况纳入甲方对乙方的绩效考评范围。</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二、甲方的义务</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1.甲方及其工作人员不索要或接受乙方的礼金、有价证券和贵重物品，不得在乙方报销任何应由甲方或甲方工作人员个人支付的费用等。</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2.甲方工作人员不得参加乙方安排的超标准宴请和娱乐活动；不得接受乙方提供的通讯工具、交通工具和高档办公用品等。</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3.甲方及其工作人员不得要求或者接受乙方为其住房装修、婚丧嫁娶活动、配偶子女的工作安排以及出国出境、旅游等提供方便等。</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4.甲方工作人员及其配偶、子女不得从事与项目有关的材料设备供应、服务承包、劳务活动等。</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5.甲方及其工作人员不得利用职权插手项目活动谋求不正当利益，不得以任何理由向乙方推荐项目建设相关单位或推销材料，不得要求乙方购买合同规定外的材料和设备。</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6.甲方工作人员要秉公办事，不准营私舞弊，不准利用职权从事各种个人有偿中介活动和安排介绍服务团队。</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三、乙方义务</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1.乙方不得以任何理由向甲方及其工作人员、服务单位行贿或馈赠礼金、有价证券、贵重礼品。</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2.乙方不得以任何名义为甲方及其工作人员报销应由甲方单位或个人支付的任何费用。</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3.乙方不得以任何理由安排甲方工作人员参加超标准宴请及娱乐活动。</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4.乙方不得为甲方单位和个人购置或提供通讯工具、交通工具和高档办公用品等。</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四、违约责任</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1.甲方及其工作人员违反本协议第一、二条，按管理权限，依据有关规定给予党纪、政纪或组织处理；涉嫌犯罪的，移交司法机关追究刑事责任；给乙方单位造成经济损失的，应予以赔偿。</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2.乙方及其工作人员违反本协议第一、三条，按合同金额的</w:t>
      </w:r>
      <w:r>
        <w:rPr>
          <w:rFonts w:hint="eastAsia" w:ascii="宋体" w:hAnsi="宋体" w:eastAsia="宋体" w:cs="宋体"/>
          <w:szCs w:val="21"/>
          <w:u w:val="single"/>
        </w:rPr>
        <w:t>50%</w:t>
      </w:r>
      <w:r>
        <w:rPr>
          <w:rFonts w:hint="eastAsia" w:ascii="宋体" w:hAnsi="宋体" w:eastAsia="宋体" w:cs="宋体"/>
          <w:szCs w:val="21"/>
        </w:rPr>
        <w:t>向甲方支付违约金，同时按管理权限，依据有关规定给予党纪、政纪组织处理；给甲方单位造成经济损失的，应予以经济赔偿。</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五、双方约定，双方有义务对协议执行情况开展自查自纠，并自觉接受有关部门监督。</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六、本协议有效期为甲乙双方签署之日起至该项目服务期满止。</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七、本协议作为</w:t>
      </w:r>
      <w:r>
        <w:rPr>
          <w:rFonts w:hint="eastAsia" w:ascii="宋体" w:hAnsi="宋体" w:cs="宋体"/>
          <w:szCs w:val="21"/>
          <w:u w:val="single"/>
          <w:lang w:val="en-US" w:eastAsia="zh-CN"/>
        </w:rPr>
        <w:t xml:space="preserve"> 广东省统一身份认证业务规划咨询服务 </w:t>
      </w:r>
      <w:r>
        <w:rPr>
          <w:rFonts w:hint="eastAsia" w:ascii="宋体" w:hAnsi="宋体" w:eastAsia="宋体" w:cs="宋体"/>
          <w:szCs w:val="21"/>
        </w:rPr>
        <w:t>合同的附件，与上述合同具有同等的法律效力，经合同双方签署后生效。</w:t>
      </w:r>
    </w:p>
    <w:p>
      <w:pPr>
        <w:spacing w:line="360" w:lineRule="auto"/>
        <w:rPr>
          <w:rFonts w:hint="eastAsia" w:ascii="宋体" w:hAnsi="宋体" w:eastAsia="宋体" w:cs="宋体"/>
          <w:szCs w:val="21"/>
        </w:rPr>
      </w:pPr>
    </w:p>
    <w:tbl>
      <w:tblPr>
        <w:tblStyle w:val="9"/>
        <w:tblW w:w="8538" w:type="dxa"/>
        <w:tblInd w:w="0" w:type="dxa"/>
        <w:tblLayout w:type="fixed"/>
        <w:tblCellMar>
          <w:top w:w="0" w:type="dxa"/>
          <w:left w:w="108" w:type="dxa"/>
          <w:bottom w:w="0" w:type="dxa"/>
          <w:right w:w="108" w:type="dxa"/>
        </w:tblCellMar>
      </w:tblPr>
      <w:tblGrid>
        <w:gridCol w:w="4269"/>
        <w:gridCol w:w="4269"/>
      </w:tblGrid>
      <w:tr>
        <w:tblPrEx>
          <w:tblCellMar>
            <w:top w:w="0" w:type="dxa"/>
            <w:left w:w="108" w:type="dxa"/>
            <w:bottom w:w="0" w:type="dxa"/>
            <w:right w:w="108" w:type="dxa"/>
          </w:tblCellMar>
        </w:tblPrEx>
        <w:tc>
          <w:tcPr>
            <w:tcW w:w="4269" w:type="dxa"/>
            <w:vAlign w:val="top"/>
          </w:tcPr>
          <w:p>
            <w:pPr>
              <w:spacing w:line="360" w:lineRule="auto"/>
              <w:rPr>
                <w:rFonts w:hint="eastAsia" w:ascii="宋体" w:hAnsi="宋体" w:eastAsia="宋体" w:cs="宋体"/>
                <w:szCs w:val="21"/>
              </w:rPr>
            </w:pPr>
            <w:r>
              <w:rPr>
                <w:rFonts w:hint="eastAsia" w:ascii="宋体" w:hAnsi="宋体" w:eastAsia="宋体" w:cs="宋体"/>
                <w:szCs w:val="21"/>
              </w:rPr>
              <w:t>委托方（甲方）：                 （盖章）</w:t>
            </w:r>
          </w:p>
        </w:tc>
        <w:tc>
          <w:tcPr>
            <w:tcW w:w="4269" w:type="dxa"/>
            <w:vAlign w:val="top"/>
          </w:tcPr>
          <w:p>
            <w:pPr>
              <w:spacing w:line="360" w:lineRule="auto"/>
              <w:rPr>
                <w:rFonts w:hint="eastAsia" w:ascii="宋体" w:hAnsi="宋体" w:eastAsia="宋体" w:cs="宋体"/>
                <w:szCs w:val="21"/>
              </w:rPr>
            </w:pPr>
            <w:r>
              <w:rPr>
                <w:rFonts w:hint="eastAsia" w:ascii="宋体" w:hAnsi="宋体" w:eastAsia="宋体" w:cs="宋体"/>
                <w:szCs w:val="21"/>
              </w:rPr>
              <w:t>受托方（乙方）：               （盖章）</w:t>
            </w:r>
          </w:p>
        </w:tc>
      </w:tr>
      <w:tr>
        <w:tblPrEx>
          <w:tblCellMar>
            <w:top w:w="0" w:type="dxa"/>
            <w:left w:w="108" w:type="dxa"/>
            <w:bottom w:w="0" w:type="dxa"/>
            <w:right w:w="108" w:type="dxa"/>
          </w:tblCellMar>
        </w:tblPrEx>
        <w:tc>
          <w:tcPr>
            <w:tcW w:w="4269" w:type="dxa"/>
            <w:vAlign w:val="top"/>
          </w:tcPr>
          <w:p>
            <w:pPr>
              <w:spacing w:line="360" w:lineRule="auto"/>
              <w:rPr>
                <w:rFonts w:hint="eastAsia" w:ascii="宋体" w:hAnsi="宋体" w:eastAsia="宋体" w:cs="宋体"/>
                <w:szCs w:val="21"/>
              </w:rPr>
            </w:pPr>
            <w:r>
              <w:rPr>
                <w:rFonts w:hint="eastAsia" w:ascii="宋体" w:hAnsi="宋体" w:eastAsia="宋体" w:cs="宋体"/>
                <w:szCs w:val="21"/>
              </w:rPr>
              <w:t>法定代表人：</w:t>
            </w:r>
          </w:p>
        </w:tc>
        <w:tc>
          <w:tcPr>
            <w:tcW w:w="4269" w:type="dxa"/>
            <w:vAlign w:val="top"/>
          </w:tcPr>
          <w:p>
            <w:pPr>
              <w:spacing w:line="360" w:lineRule="auto"/>
              <w:rPr>
                <w:rFonts w:hint="eastAsia" w:ascii="宋体" w:hAnsi="宋体" w:eastAsia="宋体" w:cs="宋体"/>
                <w:szCs w:val="21"/>
              </w:rPr>
            </w:pPr>
            <w:r>
              <w:rPr>
                <w:rFonts w:hint="eastAsia" w:ascii="宋体" w:hAnsi="宋体" w:eastAsia="宋体" w:cs="宋体"/>
                <w:szCs w:val="21"/>
              </w:rPr>
              <w:t>法定代表人：</w:t>
            </w:r>
          </w:p>
        </w:tc>
      </w:tr>
      <w:tr>
        <w:tblPrEx>
          <w:tblCellMar>
            <w:top w:w="0" w:type="dxa"/>
            <w:left w:w="108" w:type="dxa"/>
            <w:bottom w:w="0" w:type="dxa"/>
            <w:right w:w="108" w:type="dxa"/>
          </w:tblCellMar>
        </w:tblPrEx>
        <w:tc>
          <w:tcPr>
            <w:tcW w:w="4269" w:type="dxa"/>
            <w:vAlign w:val="top"/>
          </w:tcPr>
          <w:p>
            <w:pPr>
              <w:spacing w:line="360" w:lineRule="auto"/>
              <w:rPr>
                <w:rFonts w:hint="eastAsia" w:ascii="宋体" w:hAnsi="宋体" w:eastAsia="宋体" w:cs="宋体"/>
                <w:szCs w:val="21"/>
              </w:rPr>
            </w:pPr>
            <w:r>
              <w:rPr>
                <w:rFonts w:hint="eastAsia" w:ascii="宋体" w:hAnsi="宋体" w:eastAsia="宋体" w:cs="宋体"/>
                <w:szCs w:val="21"/>
              </w:rPr>
              <w:t>或其委托代理人：</w:t>
            </w:r>
          </w:p>
        </w:tc>
        <w:tc>
          <w:tcPr>
            <w:tcW w:w="4269" w:type="dxa"/>
            <w:vAlign w:val="top"/>
          </w:tcPr>
          <w:p>
            <w:pPr>
              <w:spacing w:line="360" w:lineRule="auto"/>
              <w:rPr>
                <w:rFonts w:hint="eastAsia" w:ascii="宋体" w:hAnsi="宋体" w:eastAsia="宋体" w:cs="宋体"/>
                <w:szCs w:val="21"/>
              </w:rPr>
            </w:pPr>
            <w:r>
              <w:rPr>
                <w:rFonts w:hint="eastAsia" w:ascii="宋体" w:hAnsi="宋体" w:eastAsia="宋体" w:cs="宋体"/>
                <w:szCs w:val="21"/>
              </w:rPr>
              <w:t>或其委托代理人：</w:t>
            </w:r>
          </w:p>
        </w:tc>
      </w:tr>
      <w:tr>
        <w:tblPrEx>
          <w:tblCellMar>
            <w:top w:w="0" w:type="dxa"/>
            <w:left w:w="108" w:type="dxa"/>
            <w:bottom w:w="0" w:type="dxa"/>
            <w:right w:w="108" w:type="dxa"/>
          </w:tblCellMar>
        </w:tblPrEx>
        <w:tc>
          <w:tcPr>
            <w:tcW w:w="4269" w:type="dxa"/>
            <w:vAlign w:val="top"/>
          </w:tcPr>
          <w:p>
            <w:pPr>
              <w:spacing w:line="360" w:lineRule="auto"/>
              <w:rPr>
                <w:rFonts w:hint="eastAsia" w:ascii="宋体" w:hAnsi="宋体" w:eastAsia="宋体" w:cs="宋体"/>
                <w:szCs w:val="21"/>
              </w:rPr>
            </w:pPr>
            <w:r>
              <w:rPr>
                <w:rFonts w:hint="eastAsia" w:ascii="宋体" w:hAnsi="宋体" w:eastAsia="宋体" w:cs="宋体"/>
                <w:szCs w:val="21"/>
              </w:rPr>
              <w:t>日  期：</w:t>
            </w:r>
          </w:p>
        </w:tc>
        <w:tc>
          <w:tcPr>
            <w:tcW w:w="4269" w:type="dxa"/>
            <w:vAlign w:val="top"/>
          </w:tcPr>
          <w:p>
            <w:pPr>
              <w:spacing w:line="360" w:lineRule="auto"/>
              <w:rPr>
                <w:rFonts w:hint="eastAsia" w:ascii="宋体" w:hAnsi="宋体" w:eastAsia="宋体" w:cs="宋体"/>
                <w:szCs w:val="21"/>
              </w:rPr>
            </w:pPr>
            <w:r>
              <w:rPr>
                <w:rFonts w:hint="eastAsia" w:ascii="宋体" w:hAnsi="宋体" w:eastAsia="宋体" w:cs="宋体"/>
                <w:szCs w:val="21"/>
              </w:rPr>
              <w:t>日  期：</w:t>
            </w:r>
          </w:p>
        </w:tc>
      </w:tr>
    </w:tbl>
    <w:p>
      <w:pPr>
        <w:numPr>
          <w:ilvl w:val="-1"/>
          <w:numId w:val="0"/>
        </w:numPr>
        <w:wordWrap/>
        <w:ind w:firstLine="0" w:firstLineChars="0"/>
        <w:jc w:val="left"/>
        <w:rPr>
          <w:rFonts w:hint="eastAsia" w:ascii="Times New Roman" w:hAnsi="Times New Roman" w:eastAsia="楷体_GB2312"/>
          <w:color w:val="000000"/>
          <w:sz w:val="28"/>
          <w:szCs w:val="28"/>
        </w:rPr>
      </w:pPr>
    </w:p>
    <w:p>
      <w:pPr>
        <w:numPr>
          <w:ilvl w:val="-1"/>
          <w:numId w:val="0"/>
        </w:numPr>
        <w:wordWrap/>
        <w:ind w:firstLine="0" w:firstLineChars="0"/>
        <w:jc w:val="left"/>
        <w:rPr>
          <w:rFonts w:hint="eastAsia" w:ascii="Times New Roman" w:hAnsi="Times New Roman" w:eastAsia="楷体_GB2312"/>
          <w:color w:val="000000"/>
          <w:sz w:val="28"/>
          <w:szCs w:val="28"/>
        </w:rPr>
      </w:pPr>
    </w:p>
    <w:sectPr>
      <w:headerReference r:id="rId8" w:type="default"/>
      <w:footerReference r:id="rId9" w:type="default"/>
      <w:footerReference r:id="rId10" w:type="even"/>
      <w:pgSz w:w="11906" w:h="16838"/>
      <w:pgMar w:top="1418" w:right="1418" w:bottom="1418" w:left="1418" w:header="851" w:footer="992" w:gutter="0"/>
      <w:pgNumType w:fmt="decimalFullWidt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egoe Print"/>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06F" w:usb1="1200FBEF" w:usb2="0064C000" w:usb3="00000002" w:csb0="00000001" w:csb1="4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Verdana">
    <w:altName w:val="Tahoma"/>
    <w:panose1 w:val="020B0604030504040204"/>
    <w:charset w:val="00"/>
    <w:family w:val="swiss"/>
    <w:pitch w:val="default"/>
    <w:sig w:usb0="00000000" w:usb1="00000000"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等线" w:hAnsi="等线"/>
        <w:sz w:val="18"/>
        <w:szCs w:val="18"/>
      </w:rPr>
    </w:pPr>
    <w:r>
      <w:rPr>
        <w:rFonts w:ascii="等线" w:hAnsi="等线"/>
        <w:sz w:val="18"/>
        <w:szCs w:val="18"/>
      </w:rPr>
      <w:fldChar w:fldCharType="begin"/>
    </w:r>
    <w:r>
      <w:rPr>
        <w:rFonts w:ascii="等线" w:hAnsi="等线"/>
        <w:sz w:val="18"/>
        <w:szCs w:val="18"/>
      </w:rPr>
      <w:instrText xml:space="preserve">PAGE   \* MERGEFORMAT</w:instrText>
    </w:r>
    <w:r>
      <w:rPr>
        <w:rFonts w:ascii="等线" w:hAnsi="等线"/>
        <w:sz w:val="18"/>
        <w:szCs w:val="18"/>
      </w:rPr>
      <w:fldChar w:fldCharType="separate"/>
    </w:r>
    <w:r>
      <w:rPr>
        <w:rFonts w:ascii="等线" w:hAnsi="等线"/>
        <w:sz w:val="18"/>
        <w:szCs w:val="18"/>
        <w:lang w:val="zh-CN"/>
      </w:rPr>
      <w:t>36</w:t>
    </w:r>
    <w:r>
      <w:rPr>
        <w:rFonts w:ascii="等线" w:hAnsi="等线"/>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37</w: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等线" w:hAnsi="等线"/>
      </w:rPr>
    </w:pPr>
    <w:r>
      <w:fldChar w:fldCharType="begin"/>
    </w:r>
    <w:r>
      <w:instrText xml:space="preserve"> PAGE   \* MERGEFORMAT </w:instrText>
    </w:r>
    <w:r>
      <w:fldChar w:fldCharType="separate"/>
    </w:r>
    <w:r>
      <w:rPr>
        <w:lang w:val="zh-CN"/>
      </w:rPr>
      <w:t>49</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38</w:t>
    </w:r>
    <w:r>
      <w:fldChar w:fldCharType="end"/>
    </w:r>
  </w:p>
  <w:p>
    <w:pPr>
      <w:tabs>
        <w:tab w:val="center" w:pos="4153"/>
        <w:tab w:val="right" w:pos="8306"/>
      </w:tabs>
      <w:snapToGrid w:val="0"/>
      <w:jc w:val="left"/>
      <w:rPr>
        <w:rFonts w:ascii="等线" w:hAnsi="等线"/>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51</w:t>
    </w:r>
    <w:r>
      <w:fldChar w:fldCharType="end"/>
    </w:r>
  </w:p>
  <w:p>
    <w:pPr>
      <w:tabs>
        <w:tab w:val="center" w:pos="4153"/>
        <w:tab w:val="right" w:pos="8306"/>
      </w:tabs>
      <w:snapToGrid w:val="0"/>
      <w:jc w:val="left"/>
      <w:rPr>
        <w:rFonts w:ascii="等线" w:hAnsi="等线"/>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pgkvTAAAA&#10;BQEAAA8AAAAAAAAAAQAgAAAAIgAAAGRycy9kb3ducmV2LnhtbFBLAQIUABQAAAAIAIdO4kCY3bFM&#10;sAEAAEkDAAAOAAAAAAAAAAEAIAAAACIBAABkcnMvZTJvRG9jLnhtbFBLBQYAAAAABgAGAFkBAABE&#10;BQAAAAA=&#10;">
              <v:fill on="f" focussize="0,0"/>
              <v:stroke on="f" weight="1.2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7</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rPr>
        <w:rFonts w:hint="eastAsia"/>
      </w:rPr>
      <w:t xml:space="preserve">广东省政务服务数据管理局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4B4D"/>
    <w:multiLevelType w:val="multilevel"/>
    <w:tmpl w:val="04544B4D"/>
    <w:lvl w:ilvl="0" w:tentative="0">
      <w:start w:val="1"/>
      <w:numFmt w:val="decimal"/>
      <w:pStyle w:val="17"/>
      <w:lvlText w:val="%1."/>
      <w:lvlJc w:val="left"/>
      <w:pPr>
        <w:ind w:left="425" w:hanging="425"/>
      </w:pPr>
      <w:rPr>
        <w:rFonts w:hint="default" w:ascii="Times New Roman" w:hAnsi="Times New Roman" w:cs="Times New Roman"/>
      </w:rPr>
    </w:lvl>
    <w:lvl w:ilvl="1" w:tentative="0">
      <w:start w:val="1"/>
      <w:numFmt w:val="decimal"/>
      <w:pStyle w:val="15"/>
      <w:lvlText w:val="%1.%2."/>
      <w:lvlJc w:val="left"/>
      <w:pPr>
        <w:ind w:left="567" w:hanging="567"/>
      </w:pPr>
      <w:rPr>
        <w:rFonts w:hint="default" w:ascii="Times New Roman" w:hAnsi="Times New Roman" w:cs="Times New Roman"/>
      </w:rPr>
    </w:lvl>
    <w:lvl w:ilvl="2" w:tentative="0">
      <w:start w:val="1"/>
      <w:numFmt w:val="decimal"/>
      <w:pStyle w:val="18"/>
      <w:lvlText w:val="%1.%2.%3."/>
      <w:lvlJc w:val="left"/>
      <w:pPr>
        <w:ind w:left="709" w:hanging="709"/>
      </w:pPr>
      <w:rPr>
        <w:rFonts w:hint="default" w:ascii="Times New Roman" w:hAnsi="Times New Roman" w:cs="Times New Roman"/>
        <w:b w:val="0"/>
        <w:bCs/>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
    <w:nsid w:val="0E3E12D9"/>
    <w:multiLevelType w:val="multilevel"/>
    <w:tmpl w:val="0E3E12D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51925F3"/>
    <w:multiLevelType w:val="multilevel"/>
    <w:tmpl w:val="151925F3"/>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3">
    <w:nsid w:val="578B339A"/>
    <w:multiLevelType w:val="multilevel"/>
    <w:tmpl w:val="578B339A"/>
    <w:lvl w:ilvl="0" w:tentative="0">
      <w:start w:val="1"/>
      <w:numFmt w:val="decimal"/>
      <w:suff w:val="nothing"/>
      <w:lvlText w:val="%1. "/>
      <w:lvlJc w:val="left"/>
      <w:pPr>
        <w:ind w:left="227" w:hanging="227"/>
      </w:pPr>
      <w:rPr>
        <w:rFonts w:hint="default" w:ascii="Times New Roman" w:hAnsi="Times New Roman" w:eastAsia="宋体" w:cs="Times New Roman"/>
        <w:b/>
        <w:i w:val="0"/>
        <w:sz w:val="21"/>
      </w:rPr>
    </w:lvl>
    <w:lvl w:ilvl="1" w:tentative="0">
      <w:start w:val="1"/>
      <w:numFmt w:val="decimal"/>
      <w:suff w:val="nothing"/>
      <w:lvlText w:val="%1.%2. "/>
      <w:lvlJc w:val="left"/>
      <w:pPr>
        <w:ind w:left="369" w:hanging="227"/>
      </w:pPr>
      <w:rPr>
        <w:rFonts w:hint="default" w:ascii="Times New Roman" w:hAnsi="Times New Roman" w:eastAsia="宋体" w:cs="Times New Roman"/>
        <w:b/>
        <w:i w:val="0"/>
        <w:sz w:val="21"/>
      </w:rPr>
    </w:lvl>
    <w:lvl w:ilvl="2" w:tentative="0">
      <w:start w:val="1"/>
      <w:numFmt w:val="decimal"/>
      <w:suff w:val="nothing"/>
      <w:lvlText w:val="%1.%2.%3. "/>
      <w:lvlJc w:val="left"/>
      <w:pPr>
        <w:ind w:left="227" w:hanging="227"/>
      </w:pPr>
      <w:rPr>
        <w:rFonts w:hint="eastAsia" w:ascii="宋体" w:hAnsi="宋体" w:eastAsia="宋体"/>
        <w:b/>
        <w:i w:val="0"/>
        <w:sz w:val="21"/>
      </w:rPr>
    </w:lvl>
    <w:lvl w:ilvl="3" w:tentative="0">
      <w:start w:val="1"/>
      <w:numFmt w:val="decimal"/>
      <w:suff w:val="nothing"/>
      <w:lvlText w:val="%1.%2.%3.%4. "/>
      <w:lvlJc w:val="left"/>
      <w:pPr>
        <w:ind w:left="227" w:hanging="227"/>
      </w:pPr>
      <w:rPr>
        <w:rFonts w:hint="eastAsia" w:eastAsia="宋体"/>
        <w:b/>
        <w:i w:val="0"/>
        <w:sz w:val="21"/>
      </w:rPr>
    </w:lvl>
    <w:lvl w:ilvl="4" w:tentative="0">
      <w:start w:val="1"/>
      <w:numFmt w:val="decimal"/>
      <w:suff w:val="nothing"/>
      <w:lvlText w:val="%1.%2.%3.%4.%5. "/>
      <w:lvlJc w:val="left"/>
      <w:pPr>
        <w:ind w:left="227" w:hanging="227"/>
      </w:pPr>
      <w:rPr>
        <w:rFonts w:hint="eastAsia" w:eastAsia="宋体"/>
        <w:b/>
        <w:i w:val="0"/>
        <w:sz w:val="21"/>
      </w:rPr>
    </w:lvl>
    <w:lvl w:ilvl="5" w:tentative="0">
      <w:start w:val="1"/>
      <w:numFmt w:val="decimal"/>
      <w:suff w:val="nothing"/>
      <w:lvlText w:val="%1.%2.%3.%4.%5.%6. "/>
      <w:lvlJc w:val="left"/>
      <w:pPr>
        <w:ind w:left="227" w:hanging="227"/>
      </w:pPr>
      <w:rPr>
        <w:rFonts w:hint="eastAsia" w:eastAsia="宋体"/>
        <w:b/>
        <w:i w:val="0"/>
        <w:sz w:val="21"/>
      </w:rPr>
    </w:lvl>
    <w:lvl w:ilvl="6" w:tentative="0">
      <w:start w:val="1"/>
      <w:numFmt w:val="decimal"/>
      <w:suff w:val="nothing"/>
      <w:lvlText w:val="%1.%2.%3.%4.%5.%6.%7. "/>
      <w:lvlJc w:val="left"/>
      <w:pPr>
        <w:ind w:left="227" w:hanging="227"/>
      </w:pPr>
      <w:rPr>
        <w:rFonts w:hint="eastAsia" w:eastAsia="宋体"/>
        <w:b/>
        <w:i w:val="0"/>
        <w:sz w:val="21"/>
      </w:rPr>
    </w:lvl>
    <w:lvl w:ilvl="7" w:tentative="0">
      <w:start w:val="1"/>
      <w:numFmt w:val="decimal"/>
      <w:suff w:val="nothing"/>
      <w:lvlText w:val="%1.%2.%3.%4.%5.%6.%7.%8. "/>
      <w:lvlJc w:val="left"/>
      <w:pPr>
        <w:ind w:left="227" w:hanging="227"/>
      </w:pPr>
      <w:rPr>
        <w:rFonts w:hint="eastAsia" w:eastAsia="宋体"/>
        <w:b/>
        <w:i w:val="0"/>
        <w:sz w:val="21"/>
      </w:rPr>
    </w:lvl>
    <w:lvl w:ilvl="8" w:tentative="0">
      <w:start w:val="1"/>
      <w:numFmt w:val="decimal"/>
      <w:suff w:val="nothing"/>
      <w:lvlText w:val="%1.%2.%3.%4.%5.%6.%7.%8.%9. "/>
      <w:lvlJc w:val="left"/>
      <w:pPr>
        <w:ind w:left="227" w:hanging="227"/>
      </w:pPr>
      <w:rPr>
        <w:rFonts w:hint="eastAsia" w:eastAsia="宋体"/>
        <w:b/>
        <w:i w:val="0"/>
        <w:sz w:val="21"/>
      </w:rPr>
    </w:lvl>
  </w:abstractNum>
  <w:abstractNum w:abstractNumId="4">
    <w:nsid w:val="5A06620C"/>
    <w:multiLevelType w:val="multilevel"/>
    <w:tmpl w:val="5A06620C"/>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D9A"/>
    <w:rsid w:val="00001697"/>
    <w:rsid w:val="000047DC"/>
    <w:rsid w:val="00007FDA"/>
    <w:rsid w:val="00013D0A"/>
    <w:rsid w:val="0001434C"/>
    <w:rsid w:val="00016E6C"/>
    <w:rsid w:val="0002298E"/>
    <w:rsid w:val="00024BE5"/>
    <w:rsid w:val="000251F5"/>
    <w:rsid w:val="00025E65"/>
    <w:rsid w:val="00026387"/>
    <w:rsid w:val="00027FEE"/>
    <w:rsid w:val="00030C6D"/>
    <w:rsid w:val="00030DC2"/>
    <w:rsid w:val="00034509"/>
    <w:rsid w:val="000365E4"/>
    <w:rsid w:val="0004084F"/>
    <w:rsid w:val="00045B7C"/>
    <w:rsid w:val="00052840"/>
    <w:rsid w:val="00053F70"/>
    <w:rsid w:val="000541B4"/>
    <w:rsid w:val="00054E13"/>
    <w:rsid w:val="00055DD1"/>
    <w:rsid w:val="000574F6"/>
    <w:rsid w:val="00057B6F"/>
    <w:rsid w:val="0006038B"/>
    <w:rsid w:val="00062405"/>
    <w:rsid w:val="00063558"/>
    <w:rsid w:val="0006526C"/>
    <w:rsid w:val="00065759"/>
    <w:rsid w:val="000668FA"/>
    <w:rsid w:val="0006700F"/>
    <w:rsid w:val="00067C7D"/>
    <w:rsid w:val="000719EA"/>
    <w:rsid w:val="00074F48"/>
    <w:rsid w:val="00077F58"/>
    <w:rsid w:val="0008060D"/>
    <w:rsid w:val="000814A2"/>
    <w:rsid w:val="000816B9"/>
    <w:rsid w:val="00081E3F"/>
    <w:rsid w:val="00086EBA"/>
    <w:rsid w:val="00087F08"/>
    <w:rsid w:val="00091369"/>
    <w:rsid w:val="000940A7"/>
    <w:rsid w:val="000942E6"/>
    <w:rsid w:val="0009498B"/>
    <w:rsid w:val="000960C1"/>
    <w:rsid w:val="000A31FA"/>
    <w:rsid w:val="000A410D"/>
    <w:rsid w:val="000A471A"/>
    <w:rsid w:val="000A53DE"/>
    <w:rsid w:val="000A64BE"/>
    <w:rsid w:val="000B32E3"/>
    <w:rsid w:val="000C0527"/>
    <w:rsid w:val="000C2D46"/>
    <w:rsid w:val="000C4869"/>
    <w:rsid w:val="000C6E7B"/>
    <w:rsid w:val="000C7043"/>
    <w:rsid w:val="000C7FD1"/>
    <w:rsid w:val="000D3419"/>
    <w:rsid w:val="000D43AA"/>
    <w:rsid w:val="000D55C5"/>
    <w:rsid w:val="000D6D07"/>
    <w:rsid w:val="000E08E3"/>
    <w:rsid w:val="000E1CD8"/>
    <w:rsid w:val="000E247E"/>
    <w:rsid w:val="000E28F5"/>
    <w:rsid w:val="000E3811"/>
    <w:rsid w:val="000E52F3"/>
    <w:rsid w:val="000E5303"/>
    <w:rsid w:val="000E6C68"/>
    <w:rsid w:val="000E7731"/>
    <w:rsid w:val="000F0995"/>
    <w:rsid w:val="000F1D19"/>
    <w:rsid w:val="000F22A4"/>
    <w:rsid w:val="000F23BD"/>
    <w:rsid w:val="000F49AD"/>
    <w:rsid w:val="000F53FD"/>
    <w:rsid w:val="000F702C"/>
    <w:rsid w:val="00100768"/>
    <w:rsid w:val="00100A16"/>
    <w:rsid w:val="00104424"/>
    <w:rsid w:val="001055CF"/>
    <w:rsid w:val="00105A30"/>
    <w:rsid w:val="00105F4A"/>
    <w:rsid w:val="001078D1"/>
    <w:rsid w:val="00113A89"/>
    <w:rsid w:val="00114A44"/>
    <w:rsid w:val="00116D81"/>
    <w:rsid w:val="00116DEE"/>
    <w:rsid w:val="00121090"/>
    <w:rsid w:val="00121979"/>
    <w:rsid w:val="001221DC"/>
    <w:rsid w:val="00123E71"/>
    <w:rsid w:val="00124575"/>
    <w:rsid w:val="001269A7"/>
    <w:rsid w:val="0013189D"/>
    <w:rsid w:val="00131BA4"/>
    <w:rsid w:val="00133E47"/>
    <w:rsid w:val="001352A8"/>
    <w:rsid w:val="001433B1"/>
    <w:rsid w:val="001434E4"/>
    <w:rsid w:val="00146C9E"/>
    <w:rsid w:val="00152540"/>
    <w:rsid w:val="00153321"/>
    <w:rsid w:val="00156187"/>
    <w:rsid w:val="001571EC"/>
    <w:rsid w:val="0015761E"/>
    <w:rsid w:val="001576BF"/>
    <w:rsid w:val="001648B6"/>
    <w:rsid w:val="0016496D"/>
    <w:rsid w:val="00164F86"/>
    <w:rsid w:val="001652A8"/>
    <w:rsid w:val="00166161"/>
    <w:rsid w:val="001661A4"/>
    <w:rsid w:val="00167880"/>
    <w:rsid w:val="00167E4A"/>
    <w:rsid w:val="001707EA"/>
    <w:rsid w:val="00171637"/>
    <w:rsid w:val="00172A27"/>
    <w:rsid w:val="00174CB3"/>
    <w:rsid w:val="0017758F"/>
    <w:rsid w:val="00177869"/>
    <w:rsid w:val="001831CC"/>
    <w:rsid w:val="00184864"/>
    <w:rsid w:val="0019242A"/>
    <w:rsid w:val="00196EBF"/>
    <w:rsid w:val="001A16A1"/>
    <w:rsid w:val="001A6741"/>
    <w:rsid w:val="001B2023"/>
    <w:rsid w:val="001B668E"/>
    <w:rsid w:val="001C1C1C"/>
    <w:rsid w:val="001C2211"/>
    <w:rsid w:val="001C3A2F"/>
    <w:rsid w:val="001C4768"/>
    <w:rsid w:val="001D1D27"/>
    <w:rsid w:val="001D1F2C"/>
    <w:rsid w:val="001D522B"/>
    <w:rsid w:val="001D5239"/>
    <w:rsid w:val="001D5676"/>
    <w:rsid w:val="001D7089"/>
    <w:rsid w:val="001E14AE"/>
    <w:rsid w:val="001E254A"/>
    <w:rsid w:val="001E49E9"/>
    <w:rsid w:val="001E7626"/>
    <w:rsid w:val="001E76AD"/>
    <w:rsid w:val="001F18B6"/>
    <w:rsid w:val="001F4603"/>
    <w:rsid w:val="001F508B"/>
    <w:rsid w:val="002037D1"/>
    <w:rsid w:val="002038A2"/>
    <w:rsid w:val="00204390"/>
    <w:rsid w:val="0020708B"/>
    <w:rsid w:val="0021060D"/>
    <w:rsid w:val="00213772"/>
    <w:rsid w:val="002138B3"/>
    <w:rsid w:val="00214E43"/>
    <w:rsid w:val="0022323C"/>
    <w:rsid w:val="0022498D"/>
    <w:rsid w:val="0022790D"/>
    <w:rsid w:val="00230F8F"/>
    <w:rsid w:val="002321DB"/>
    <w:rsid w:val="002321EB"/>
    <w:rsid w:val="0023375F"/>
    <w:rsid w:val="0023400C"/>
    <w:rsid w:val="00235944"/>
    <w:rsid w:val="00243508"/>
    <w:rsid w:val="002439F1"/>
    <w:rsid w:val="00246E41"/>
    <w:rsid w:val="002516EE"/>
    <w:rsid w:val="00260728"/>
    <w:rsid w:val="002624B3"/>
    <w:rsid w:val="00265DB7"/>
    <w:rsid w:val="00266160"/>
    <w:rsid w:val="0027069A"/>
    <w:rsid w:val="002723CA"/>
    <w:rsid w:val="00280AA9"/>
    <w:rsid w:val="00281300"/>
    <w:rsid w:val="00287152"/>
    <w:rsid w:val="002877DA"/>
    <w:rsid w:val="00290734"/>
    <w:rsid w:val="00292310"/>
    <w:rsid w:val="00292AF7"/>
    <w:rsid w:val="00296FEF"/>
    <w:rsid w:val="002A33BF"/>
    <w:rsid w:val="002A3670"/>
    <w:rsid w:val="002A483C"/>
    <w:rsid w:val="002B092D"/>
    <w:rsid w:val="002B378B"/>
    <w:rsid w:val="002B7008"/>
    <w:rsid w:val="002B736F"/>
    <w:rsid w:val="002C078E"/>
    <w:rsid w:val="002C0ACA"/>
    <w:rsid w:val="002C2FDC"/>
    <w:rsid w:val="002C6EFE"/>
    <w:rsid w:val="002D061C"/>
    <w:rsid w:val="002D0897"/>
    <w:rsid w:val="002D132C"/>
    <w:rsid w:val="002D310F"/>
    <w:rsid w:val="002D50A6"/>
    <w:rsid w:val="002D5CCA"/>
    <w:rsid w:val="002D5DE2"/>
    <w:rsid w:val="002E0BD4"/>
    <w:rsid w:val="002E202B"/>
    <w:rsid w:val="002E536F"/>
    <w:rsid w:val="002E6102"/>
    <w:rsid w:val="002E799C"/>
    <w:rsid w:val="002F4A1D"/>
    <w:rsid w:val="002F5EF9"/>
    <w:rsid w:val="002F6B77"/>
    <w:rsid w:val="003030BD"/>
    <w:rsid w:val="003068D3"/>
    <w:rsid w:val="003142D6"/>
    <w:rsid w:val="00314F4D"/>
    <w:rsid w:val="00315C8E"/>
    <w:rsid w:val="0031639F"/>
    <w:rsid w:val="00316B1C"/>
    <w:rsid w:val="003208EB"/>
    <w:rsid w:val="00331EE5"/>
    <w:rsid w:val="0033566D"/>
    <w:rsid w:val="00343A72"/>
    <w:rsid w:val="003474A5"/>
    <w:rsid w:val="00350999"/>
    <w:rsid w:val="00352212"/>
    <w:rsid w:val="00352A1F"/>
    <w:rsid w:val="0035357E"/>
    <w:rsid w:val="003546A6"/>
    <w:rsid w:val="00355CD3"/>
    <w:rsid w:val="003654FF"/>
    <w:rsid w:val="003667F0"/>
    <w:rsid w:val="003754C7"/>
    <w:rsid w:val="00375AC2"/>
    <w:rsid w:val="003768CC"/>
    <w:rsid w:val="003769AB"/>
    <w:rsid w:val="00377631"/>
    <w:rsid w:val="00377844"/>
    <w:rsid w:val="00377DC6"/>
    <w:rsid w:val="00380D98"/>
    <w:rsid w:val="003813AD"/>
    <w:rsid w:val="003817A3"/>
    <w:rsid w:val="0038350A"/>
    <w:rsid w:val="003836FF"/>
    <w:rsid w:val="003866B3"/>
    <w:rsid w:val="0038745E"/>
    <w:rsid w:val="003933F5"/>
    <w:rsid w:val="0039411C"/>
    <w:rsid w:val="003960DC"/>
    <w:rsid w:val="0039775D"/>
    <w:rsid w:val="003A0E94"/>
    <w:rsid w:val="003A1862"/>
    <w:rsid w:val="003A2228"/>
    <w:rsid w:val="003C06D9"/>
    <w:rsid w:val="003C128D"/>
    <w:rsid w:val="003C6DA6"/>
    <w:rsid w:val="003C7E80"/>
    <w:rsid w:val="003D1B20"/>
    <w:rsid w:val="003D2D71"/>
    <w:rsid w:val="003D4DE1"/>
    <w:rsid w:val="003D559E"/>
    <w:rsid w:val="003D7341"/>
    <w:rsid w:val="003E1BEA"/>
    <w:rsid w:val="003E5237"/>
    <w:rsid w:val="003E692A"/>
    <w:rsid w:val="003F2CDF"/>
    <w:rsid w:val="003F32A9"/>
    <w:rsid w:val="003F4C40"/>
    <w:rsid w:val="004003DF"/>
    <w:rsid w:val="00400F65"/>
    <w:rsid w:val="0040122A"/>
    <w:rsid w:val="00404453"/>
    <w:rsid w:val="004069B9"/>
    <w:rsid w:val="00407450"/>
    <w:rsid w:val="0041171F"/>
    <w:rsid w:val="00411B56"/>
    <w:rsid w:val="00413BFA"/>
    <w:rsid w:val="00414AA1"/>
    <w:rsid w:val="00414D77"/>
    <w:rsid w:val="00414F67"/>
    <w:rsid w:val="004157AB"/>
    <w:rsid w:val="00421112"/>
    <w:rsid w:val="004219DF"/>
    <w:rsid w:val="004240CE"/>
    <w:rsid w:val="00427BA0"/>
    <w:rsid w:val="004309FA"/>
    <w:rsid w:val="004310A2"/>
    <w:rsid w:val="00433EB8"/>
    <w:rsid w:val="00435536"/>
    <w:rsid w:val="004370A2"/>
    <w:rsid w:val="004371AA"/>
    <w:rsid w:val="00442EB8"/>
    <w:rsid w:val="00443BF8"/>
    <w:rsid w:val="00447744"/>
    <w:rsid w:val="00450150"/>
    <w:rsid w:val="0046026C"/>
    <w:rsid w:val="0046075F"/>
    <w:rsid w:val="00462DF0"/>
    <w:rsid w:val="00464F48"/>
    <w:rsid w:val="00466795"/>
    <w:rsid w:val="00467B00"/>
    <w:rsid w:val="00470F6E"/>
    <w:rsid w:val="004765B1"/>
    <w:rsid w:val="004812BC"/>
    <w:rsid w:val="00482F75"/>
    <w:rsid w:val="004836A2"/>
    <w:rsid w:val="00484F0F"/>
    <w:rsid w:val="00486F80"/>
    <w:rsid w:val="004870A3"/>
    <w:rsid w:val="004875BE"/>
    <w:rsid w:val="00491CDF"/>
    <w:rsid w:val="004943C5"/>
    <w:rsid w:val="00497FC2"/>
    <w:rsid w:val="004A235F"/>
    <w:rsid w:val="004A2FBE"/>
    <w:rsid w:val="004A3138"/>
    <w:rsid w:val="004A658B"/>
    <w:rsid w:val="004A7445"/>
    <w:rsid w:val="004B02D0"/>
    <w:rsid w:val="004B4A90"/>
    <w:rsid w:val="004D2022"/>
    <w:rsid w:val="004D262A"/>
    <w:rsid w:val="004E2F5D"/>
    <w:rsid w:val="004E482C"/>
    <w:rsid w:val="004E6540"/>
    <w:rsid w:val="004F06D3"/>
    <w:rsid w:val="004F3F9D"/>
    <w:rsid w:val="004F5A2D"/>
    <w:rsid w:val="005004EF"/>
    <w:rsid w:val="00501477"/>
    <w:rsid w:val="00502023"/>
    <w:rsid w:val="005033C0"/>
    <w:rsid w:val="005066A2"/>
    <w:rsid w:val="00510162"/>
    <w:rsid w:val="0051031D"/>
    <w:rsid w:val="00511E3F"/>
    <w:rsid w:val="005140C3"/>
    <w:rsid w:val="00514A7A"/>
    <w:rsid w:val="00515D39"/>
    <w:rsid w:val="005213F2"/>
    <w:rsid w:val="005235FD"/>
    <w:rsid w:val="00524F7C"/>
    <w:rsid w:val="00530B14"/>
    <w:rsid w:val="00531C3D"/>
    <w:rsid w:val="005336E3"/>
    <w:rsid w:val="00535DB8"/>
    <w:rsid w:val="00545182"/>
    <w:rsid w:val="00545770"/>
    <w:rsid w:val="005520C2"/>
    <w:rsid w:val="00561A7F"/>
    <w:rsid w:val="005640DC"/>
    <w:rsid w:val="0056639A"/>
    <w:rsid w:val="005665F7"/>
    <w:rsid w:val="0057663C"/>
    <w:rsid w:val="00577CFE"/>
    <w:rsid w:val="0058123E"/>
    <w:rsid w:val="00581A93"/>
    <w:rsid w:val="005830AD"/>
    <w:rsid w:val="00583D89"/>
    <w:rsid w:val="005910F5"/>
    <w:rsid w:val="00596694"/>
    <w:rsid w:val="005A37D7"/>
    <w:rsid w:val="005A3BD3"/>
    <w:rsid w:val="005B5566"/>
    <w:rsid w:val="005C0B56"/>
    <w:rsid w:val="005C11E6"/>
    <w:rsid w:val="005C315C"/>
    <w:rsid w:val="005D203E"/>
    <w:rsid w:val="005D2A65"/>
    <w:rsid w:val="005D2CE6"/>
    <w:rsid w:val="005D46E2"/>
    <w:rsid w:val="005D619A"/>
    <w:rsid w:val="005E31B0"/>
    <w:rsid w:val="005E40A3"/>
    <w:rsid w:val="005E4E5B"/>
    <w:rsid w:val="005E5F4D"/>
    <w:rsid w:val="005E5FEA"/>
    <w:rsid w:val="005F28D3"/>
    <w:rsid w:val="005F336D"/>
    <w:rsid w:val="005F4ADA"/>
    <w:rsid w:val="005F51FE"/>
    <w:rsid w:val="005F5E6E"/>
    <w:rsid w:val="005F6E42"/>
    <w:rsid w:val="005F78F9"/>
    <w:rsid w:val="005F7A66"/>
    <w:rsid w:val="00604CC4"/>
    <w:rsid w:val="00607911"/>
    <w:rsid w:val="00613C60"/>
    <w:rsid w:val="006158D2"/>
    <w:rsid w:val="00616117"/>
    <w:rsid w:val="006178E8"/>
    <w:rsid w:val="006200A3"/>
    <w:rsid w:val="00620829"/>
    <w:rsid w:val="00626F83"/>
    <w:rsid w:val="00630E2B"/>
    <w:rsid w:val="00633D59"/>
    <w:rsid w:val="00634E53"/>
    <w:rsid w:val="0063642E"/>
    <w:rsid w:val="00641101"/>
    <w:rsid w:val="00641638"/>
    <w:rsid w:val="00644063"/>
    <w:rsid w:val="00644F25"/>
    <w:rsid w:val="00645299"/>
    <w:rsid w:val="00645D2D"/>
    <w:rsid w:val="0066269E"/>
    <w:rsid w:val="0066513A"/>
    <w:rsid w:val="006739C0"/>
    <w:rsid w:val="006809F1"/>
    <w:rsid w:val="00684816"/>
    <w:rsid w:val="00685CCC"/>
    <w:rsid w:val="00685EC0"/>
    <w:rsid w:val="00686320"/>
    <w:rsid w:val="006906ED"/>
    <w:rsid w:val="00692E65"/>
    <w:rsid w:val="0069348E"/>
    <w:rsid w:val="00693F45"/>
    <w:rsid w:val="00695183"/>
    <w:rsid w:val="006A0638"/>
    <w:rsid w:val="006A18B0"/>
    <w:rsid w:val="006A364F"/>
    <w:rsid w:val="006A4D61"/>
    <w:rsid w:val="006A56E8"/>
    <w:rsid w:val="006A593F"/>
    <w:rsid w:val="006B343A"/>
    <w:rsid w:val="006B6A26"/>
    <w:rsid w:val="006B7BEE"/>
    <w:rsid w:val="006C1348"/>
    <w:rsid w:val="006C2983"/>
    <w:rsid w:val="006C2B3A"/>
    <w:rsid w:val="006D0EB6"/>
    <w:rsid w:val="006D31D3"/>
    <w:rsid w:val="006D42BC"/>
    <w:rsid w:val="006D7049"/>
    <w:rsid w:val="006D7937"/>
    <w:rsid w:val="006E240E"/>
    <w:rsid w:val="006E37A0"/>
    <w:rsid w:val="006E3A1F"/>
    <w:rsid w:val="006E6396"/>
    <w:rsid w:val="006F3C35"/>
    <w:rsid w:val="006F567A"/>
    <w:rsid w:val="006F612B"/>
    <w:rsid w:val="006F62F4"/>
    <w:rsid w:val="006F68E2"/>
    <w:rsid w:val="00703CD7"/>
    <w:rsid w:val="00704A60"/>
    <w:rsid w:val="0070550A"/>
    <w:rsid w:val="0071252F"/>
    <w:rsid w:val="00712E75"/>
    <w:rsid w:val="00714393"/>
    <w:rsid w:val="00715046"/>
    <w:rsid w:val="00716D11"/>
    <w:rsid w:val="007174B1"/>
    <w:rsid w:val="00720972"/>
    <w:rsid w:val="007222EE"/>
    <w:rsid w:val="00722D7E"/>
    <w:rsid w:val="00724434"/>
    <w:rsid w:val="007244BE"/>
    <w:rsid w:val="00725D9B"/>
    <w:rsid w:val="00726C61"/>
    <w:rsid w:val="00732779"/>
    <w:rsid w:val="0073422E"/>
    <w:rsid w:val="007343CF"/>
    <w:rsid w:val="0073752D"/>
    <w:rsid w:val="00741C4D"/>
    <w:rsid w:val="007427E1"/>
    <w:rsid w:val="00744C7A"/>
    <w:rsid w:val="00751492"/>
    <w:rsid w:val="0075159A"/>
    <w:rsid w:val="00757B00"/>
    <w:rsid w:val="00762445"/>
    <w:rsid w:val="00762D48"/>
    <w:rsid w:val="0076398F"/>
    <w:rsid w:val="00772888"/>
    <w:rsid w:val="00777F36"/>
    <w:rsid w:val="007816CE"/>
    <w:rsid w:val="00784BAA"/>
    <w:rsid w:val="007901B5"/>
    <w:rsid w:val="0079202B"/>
    <w:rsid w:val="00793026"/>
    <w:rsid w:val="00795D45"/>
    <w:rsid w:val="0079685D"/>
    <w:rsid w:val="007A0787"/>
    <w:rsid w:val="007A7384"/>
    <w:rsid w:val="007A7D2F"/>
    <w:rsid w:val="007B1285"/>
    <w:rsid w:val="007B292B"/>
    <w:rsid w:val="007B2E4B"/>
    <w:rsid w:val="007B4283"/>
    <w:rsid w:val="007B4D78"/>
    <w:rsid w:val="007B56F7"/>
    <w:rsid w:val="007B5C53"/>
    <w:rsid w:val="007D1A09"/>
    <w:rsid w:val="007D51C0"/>
    <w:rsid w:val="007D71D5"/>
    <w:rsid w:val="007D7539"/>
    <w:rsid w:val="007E0874"/>
    <w:rsid w:val="007E11A8"/>
    <w:rsid w:val="007E1384"/>
    <w:rsid w:val="007E2017"/>
    <w:rsid w:val="007E5A1D"/>
    <w:rsid w:val="007E7D68"/>
    <w:rsid w:val="007F1D8D"/>
    <w:rsid w:val="007F3D8F"/>
    <w:rsid w:val="007F6AAB"/>
    <w:rsid w:val="00800A39"/>
    <w:rsid w:val="00803278"/>
    <w:rsid w:val="00803B9B"/>
    <w:rsid w:val="008053DA"/>
    <w:rsid w:val="00811DA7"/>
    <w:rsid w:val="008166D1"/>
    <w:rsid w:val="00821D4A"/>
    <w:rsid w:val="00822ACB"/>
    <w:rsid w:val="00822C0E"/>
    <w:rsid w:val="00822E57"/>
    <w:rsid w:val="00823AFB"/>
    <w:rsid w:val="00827131"/>
    <w:rsid w:val="00833132"/>
    <w:rsid w:val="008331D0"/>
    <w:rsid w:val="00833C55"/>
    <w:rsid w:val="00842749"/>
    <w:rsid w:val="00844CD3"/>
    <w:rsid w:val="00845283"/>
    <w:rsid w:val="008512DA"/>
    <w:rsid w:val="008534D6"/>
    <w:rsid w:val="008546EB"/>
    <w:rsid w:val="00855948"/>
    <w:rsid w:val="0085762C"/>
    <w:rsid w:val="00857C98"/>
    <w:rsid w:val="0086057C"/>
    <w:rsid w:val="00860760"/>
    <w:rsid w:val="00861127"/>
    <w:rsid w:val="0086145A"/>
    <w:rsid w:val="00861503"/>
    <w:rsid w:val="00862884"/>
    <w:rsid w:val="00862BBE"/>
    <w:rsid w:val="00863634"/>
    <w:rsid w:val="00864B3E"/>
    <w:rsid w:val="008656F4"/>
    <w:rsid w:val="00865FA6"/>
    <w:rsid w:val="00873B51"/>
    <w:rsid w:val="00876987"/>
    <w:rsid w:val="00876C88"/>
    <w:rsid w:val="008804EC"/>
    <w:rsid w:val="00880E2D"/>
    <w:rsid w:val="00881F6E"/>
    <w:rsid w:val="008848BE"/>
    <w:rsid w:val="00884CFE"/>
    <w:rsid w:val="0088570F"/>
    <w:rsid w:val="00887DC9"/>
    <w:rsid w:val="008954DE"/>
    <w:rsid w:val="00895F33"/>
    <w:rsid w:val="0089792B"/>
    <w:rsid w:val="008A07FB"/>
    <w:rsid w:val="008A2D55"/>
    <w:rsid w:val="008A30F3"/>
    <w:rsid w:val="008A3DF5"/>
    <w:rsid w:val="008A5156"/>
    <w:rsid w:val="008A51B0"/>
    <w:rsid w:val="008A787B"/>
    <w:rsid w:val="008A7BA7"/>
    <w:rsid w:val="008B117D"/>
    <w:rsid w:val="008B3A08"/>
    <w:rsid w:val="008B4D92"/>
    <w:rsid w:val="008B5CC2"/>
    <w:rsid w:val="008B6B87"/>
    <w:rsid w:val="008B7C8D"/>
    <w:rsid w:val="008C2240"/>
    <w:rsid w:val="008C6589"/>
    <w:rsid w:val="008C6B25"/>
    <w:rsid w:val="008D023F"/>
    <w:rsid w:val="008D0363"/>
    <w:rsid w:val="008D1670"/>
    <w:rsid w:val="008D5895"/>
    <w:rsid w:val="008E1BA3"/>
    <w:rsid w:val="008E50F8"/>
    <w:rsid w:val="008F26C8"/>
    <w:rsid w:val="008F2CC7"/>
    <w:rsid w:val="008F5215"/>
    <w:rsid w:val="0090307B"/>
    <w:rsid w:val="00904A7B"/>
    <w:rsid w:val="00904BBD"/>
    <w:rsid w:val="00904D36"/>
    <w:rsid w:val="00912594"/>
    <w:rsid w:val="009200B3"/>
    <w:rsid w:val="00923C51"/>
    <w:rsid w:val="00926A57"/>
    <w:rsid w:val="00931CE3"/>
    <w:rsid w:val="009320D2"/>
    <w:rsid w:val="00932FCE"/>
    <w:rsid w:val="0093535A"/>
    <w:rsid w:val="00935803"/>
    <w:rsid w:val="00936441"/>
    <w:rsid w:val="00941039"/>
    <w:rsid w:val="00943AC5"/>
    <w:rsid w:val="00943AEF"/>
    <w:rsid w:val="00944553"/>
    <w:rsid w:val="00945C0C"/>
    <w:rsid w:val="0094712A"/>
    <w:rsid w:val="00954661"/>
    <w:rsid w:val="009555A9"/>
    <w:rsid w:val="009600E6"/>
    <w:rsid w:val="009663D9"/>
    <w:rsid w:val="009664F8"/>
    <w:rsid w:val="00967003"/>
    <w:rsid w:val="00967AB2"/>
    <w:rsid w:val="0097148F"/>
    <w:rsid w:val="009813D9"/>
    <w:rsid w:val="00983ED7"/>
    <w:rsid w:val="0098587D"/>
    <w:rsid w:val="009871A0"/>
    <w:rsid w:val="00987F80"/>
    <w:rsid w:val="00991160"/>
    <w:rsid w:val="00992248"/>
    <w:rsid w:val="009922A1"/>
    <w:rsid w:val="00992530"/>
    <w:rsid w:val="009950D9"/>
    <w:rsid w:val="00997331"/>
    <w:rsid w:val="009A0F42"/>
    <w:rsid w:val="009A1B0D"/>
    <w:rsid w:val="009A2583"/>
    <w:rsid w:val="009A48DF"/>
    <w:rsid w:val="009A5AA5"/>
    <w:rsid w:val="009A5F49"/>
    <w:rsid w:val="009B04D1"/>
    <w:rsid w:val="009B1B4C"/>
    <w:rsid w:val="009B2791"/>
    <w:rsid w:val="009B3C99"/>
    <w:rsid w:val="009B53B0"/>
    <w:rsid w:val="009B55B4"/>
    <w:rsid w:val="009B5A75"/>
    <w:rsid w:val="009B729F"/>
    <w:rsid w:val="009C2036"/>
    <w:rsid w:val="009C2C19"/>
    <w:rsid w:val="009C3071"/>
    <w:rsid w:val="009C319C"/>
    <w:rsid w:val="009C7625"/>
    <w:rsid w:val="009C7E23"/>
    <w:rsid w:val="009D3ED1"/>
    <w:rsid w:val="009D4480"/>
    <w:rsid w:val="009D6B85"/>
    <w:rsid w:val="009D79AB"/>
    <w:rsid w:val="009E3EFA"/>
    <w:rsid w:val="009E6FAB"/>
    <w:rsid w:val="009E77FF"/>
    <w:rsid w:val="009F29F5"/>
    <w:rsid w:val="009F5121"/>
    <w:rsid w:val="009F55CA"/>
    <w:rsid w:val="009F748E"/>
    <w:rsid w:val="00A01ADC"/>
    <w:rsid w:val="00A02600"/>
    <w:rsid w:val="00A040D3"/>
    <w:rsid w:val="00A04547"/>
    <w:rsid w:val="00A061E1"/>
    <w:rsid w:val="00A119E3"/>
    <w:rsid w:val="00A11ED8"/>
    <w:rsid w:val="00A11FEA"/>
    <w:rsid w:val="00A15802"/>
    <w:rsid w:val="00A15906"/>
    <w:rsid w:val="00A2006B"/>
    <w:rsid w:val="00A24F1C"/>
    <w:rsid w:val="00A26D0E"/>
    <w:rsid w:val="00A278CC"/>
    <w:rsid w:val="00A32632"/>
    <w:rsid w:val="00A32C5A"/>
    <w:rsid w:val="00A36A92"/>
    <w:rsid w:val="00A36F9F"/>
    <w:rsid w:val="00A376B5"/>
    <w:rsid w:val="00A41731"/>
    <w:rsid w:val="00A425B5"/>
    <w:rsid w:val="00A457C5"/>
    <w:rsid w:val="00A468F2"/>
    <w:rsid w:val="00A4695A"/>
    <w:rsid w:val="00A51328"/>
    <w:rsid w:val="00A52E5F"/>
    <w:rsid w:val="00A572E9"/>
    <w:rsid w:val="00A61767"/>
    <w:rsid w:val="00A62A38"/>
    <w:rsid w:val="00A62ED4"/>
    <w:rsid w:val="00A6359E"/>
    <w:rsid w:val="00A649A0"/>
    <w:rsid w:val="00A71AFC"/>
    <w:rsid w:val="00A83775"/>
    <w:rsid w:val="00A83ADF"/>
    <w:rsid w:val="00A85BF5"/>
    <w:rsid w:val="00A87211"/>
    <w:rsid w:val="00A90113"/>
    <w:rsid w:val="00A92174"/>
    <w:rsid w:val="00A927A8"/>
    <w:rsid w:val="00A92F58"/>
    <w:rsid w:val="00A952AB"/>
    <w:rsid w:val="00AA4B3E"/>
    <w:rsid w:val="00AA628C"/>
    <w:rsid w:val="00AA6EBA"/>
    <w:rsid w:val="00AC09B8"/>
    <w:rsid w:val="00AC1113"/>
    <w:rsid w:val="00AC15F4"/>
    <w:rsid w:val="00AC38DC"/>
    <w:rsid w:val="00AC5A9D"/>
    <w:rsid w:val="00AD3052"/>
    <w:rsid w:val="00AD5A15"/>
    <w:rsid w:val="00AD6C2A"/>
    <w:rsid w:val="00AF1CD2"/>
    <w:rsid w:val="00AF77B5"/>
    <w:rsid w:val="00B00465"/>
    <w:rsid w:val="00B023AF"/>
    <w:rsid w:val="00B03938"/>
    <w:rsid w:val="00B04A9F"/>
    <w:rsid w:val="00B05BD7"/>
    <w:rsid w:val="00B070F7"/>
    <w:rsid w:val="00B07169"/>
    <w:rsid w:val="00B0797E"/>
    <w:rsid w:val="00B07C76"/>
    <w:rsid w:val="00B125C0"/>
    <w:rsid w:val="00B13C30"/>
    <w:rsid w:val="00B13E02"/>
    <w:rsid w:val="00B17EA9"/>
    <w:rsid w:val="00B22728"/>
    <w:rsid w:val="00B2334B"/>
    <w:rsid w:val="00B26C6B"/>
    <w:rsid w:val="00B3118D"/>
    <w:rsid w:val="00B325AF"/>
    <w:rsid w:val="00B32968"/>
    <w:rsid w:val="00B33FEA"/>
    <w:rsid w:val="00B36417"/>
    <w:rsid w:val="00B379F1"/>
    <w:rsid w:val="00B433B6"/>
    <w:rsid w:val="00B44E08"/>
    <w:rsid w:val="00B50C08"/>
    <w:rsid w:val="00B50D41"/>
    <w:rsid w:val="00B51565"/>
    <w:rsid w:val="00B51AFC"/>
    <w:rsid w:val="00B53CC8"/>
    <w:rsid w:val="00B5436B"/>
    <w:rsid w:val="00B54D57"/>
    <w:rsid w:val="00B55EE7"/>
    <w:rsid w:val="00B605B5"/>
    <w:rsid w:val="00B63174"/>
    <w:rsid w:val="00B63EF2"/>
    <w:rsid w:val="00B65000"/>
    <w:rsid w:val="00B67197"/>
    <w:rsid w:val="00B71A5F"/>
    <w:rsid w:val="00B739E4"/>
    <w:rsid w:val="00B73A56"/>
    <w:rsid w:val="00B73D95"/>
    <w:rsid w:val="00B7443E"/>
    <w:rsid w:val="00B74A48"/>
    <w:rsid w:val="00B76098"/>
    <w:rsid w:val="00B76A2F"/>
    <w:rsid w:val="00B81015"/>
    <w:rsid w:val="00B84C4F"/>
    <w:rsid w:val="00B94438"/>
    <w:rsid w:val="00B95752"/>
    <w:rsid w:val="00BA1032"/>
    <w:rsid w:val="00BA3CE3"/>
    <w:rsid w:val="00BA53D5"/>
    <w:rsid w:val="00BA64E2"/>
    <w:rsid w:val="00BA7F68"/>
    <w:rsid w:val="00BB1B22"/>
    <w:rsid w:val="00BB1D03"/>
    <w:rsid w:val="00BB2349"/>
    <w:rsid w:val="00BB43EB"/>
    <w:rsid w:val="00BB48A3"/>
    <w:rsid w:val="00BB5DF5"/>
    <w:rsid w:val="00BC0977"/>
    <w:rsid w:val="00BC18BF"/>
    <w:rsid w:val="00BC1D61"/>
    <w:rsid w:val="00BC67BA"/>
    <w:rsid w:val="00BC76FA"/>
    <w:rsid w:val="00BD43F9"/>
    <w:rsid w:val="00BD6A87"/>
    <w:rsid w:val="00BE0A0F"/>
    <w:rsid w:val="00BE3105"/>
    <w:rsid w:val="00BE46BE"/>
    <w:rsid w:val="00BE4B09"/>
    <w:rsid w:val="00BE4CD1"/>
    <w:rsid w:val="00BE725F"/>
    <w:rsid w:val="00BF19B9"/>
    <w:rsid w:val="00BF24CE"/>
    <w:rsid w:val="00BF46C5"/>
    <w:rsid w:val="00BF5258"/>
    <w:rsid w:val="00BF5F8E"/>
    <w:rsid w:val="00BF7C0B"/>
    <w:rsid w:val="00C0412B"/>
    <w:rsid w:val="00C05BB2"/>
    <w:rsid w:val="00C16583"/>
    <w:rsid w:val="00C17B32"/>
    <w:rsid w:val="00C228AF"/>
    <w:rsid w:val="00C22F4A"/>
    <w:rsid w:val="00C23426"/>
    <w:rsid w:val="00C256BB"/>
    <w:rsid w:val="00C333BC"/>
    <w:rsid w:val="00C34F23"/>
    <w:rsid w:val="00C37B56"/>
    <w:rsid w:val="00C41B00"/>
    <w:rsid w:val="00C422B3"/>
    <w:rsid w:val="00C4305B"/>
    <w:rsid w:val="00C44302"/>
    <w:rsid w:val="00C45E32"/>
    <w:rsid w:val="00C5046D"/>
    <w:rsid w:val="00C508BF"/>
    <w:rsid w:val="00C51EC6"/>
    <w:rsid w:val="00C56F3F"/>
    <w:rsid w:val="00C6393D"/>
    <w:rsid w:val="00C63F77"/>
    <w:rsid w:val="00C67F4D"/>
    <w:rsid w:val="00C72DD8"/>
    <w:rsid w:val="00C7481F"/>
    <w:rsid w:val="00C767F9"/>
    <w:rsid w:val="00C80604"/>
    <w:rsid w:val="00C83459"/>
    <w:rsid w:val="00C8368E"/>
    <w:rsid w:val="00C83CDC"/>
    <w:rsid w:val="00C8460A"/>
    <w:rsid w:val="00C85F82"/>
    <w:rsid w:val="00C8633A"/>
    <w:rsid w:val="00C86503"/>
    <w:rsid w:val="00C8692E"/>
    <w:rsid w:val="00C91235"/>
    <w:rsid w:val="00C9278C"/>
    <w:rsid w:val="00CA0670"/>
    <w:rsid w:val="00CA2EE1"/>
    <w:rsid w:val="00CA5144"/>
    <w:rsid w:val="00CA612D"/>
    <w:rsid w:val="00CB0A07"/>
    <w:rsid w:val="00CB1258"/>
    <w:rsid w:val="00CB2DE5"/>
    <w:rsid w:val="00CB345D"/>
    <w:rsid w:val="00CB5A86"/>
    <w:rsid w:val="00CB677D"/>
    <w:rsid w:val="00CC121F"/>
    <w:rsid w:val="00CC616E"/>
    <w:rsid w:val="00CC6239"/>
    <w:rsid w:val="00CC6DFE"/>
    <w:rsid w:val="00CC79DA"/>
    <w:rsid w:val="00CC7F1B"/>
    <w:rsid w:val="00CD1868"/>
    <w:rsid w:val="00CD5CB9"/>
    <w:rsid w:val="00CE05B0"/>
    <w:rsid w:val="00CE2D54"/>
    <w:rsid w:val="00CE65B8"/>
    <w:rsid w:val="00CE7489"/>
    <w:rsid w:val="00CF00F2"/>
    <w:rsid w:val="00CF10CD"/>
    <w:rsid w:val="00CF1A2D"/>
    <w:rsid w:val="00CF3937"/>
    <w:rsid w:val="00CF42B9"/>
    <w:rsid w:val="00CF52B0"/>
    <w:rsid w:val="00CF78AC"/>
    <w:rsid w:val="00D010B6"/>
    <w:rsid w:val="00D02FCB"/>
    <w:rsid w:val="00D0446B"/>
    <w:rsid w:val="00D054D8"/>
    <w:rsid w:val="00D10322"/>
    <w:rsid w:val="00D12A16"/>
    <w:rsid w:val="00D1611A"/>
    <w:rsid w:val="00D22920"/>
    <w:rsid w:val="00D22A21"/>
    <w:rsid w:val="00D245A6"/>
    <w:rsid w:val="00D24EBE"/>
    <w:rsid w:val="00D260DF"/>
    <w:rsid w:val="00D26CAD"/>
    <w:rsid w:val="00D31C8B"/>
    <w:rsid w:val="00D31F73"/>
    <w:rsid w:val="00D344DC"/>
    <w:rsid w:val="00D36FF4"/>
    <w:rsid w:val="00D378D3"/>
    <w:rsid w:val="00D40F56"/>
    <w:rsid w:val="00D42298"/>
    <w:rsid w:val="00D43D6A"/>
    <w:rsid w:val="00D47465"/>
    <w:rsid w:val="00D51123"/>
    <w:rsid w:val="00D57A07"/>
    <w:rsid w:val="00D60134"/>
    <w:rsid w:val="00D633A0"/>
    <w:rsid w:val="00D6444C"/>
    <w:rsid w:val="00D6525C"/>
    <w:rsid w:val="00D654C3"/>
    <w:rsid w:val="00D65CD2"/>
    <w:rsid w:val="00D7069F"/>
    <w:rsid w:val="00D7325E"/>
    <w:rsid w:val="00D73C51"/>
    <w:rsid w:val="00D742A7"/>
    <w:rsid w:val="00D75A4D"/>
    <w:rsid w:val="00D76408"/>
    <w:rsid w:val="00D8133E"/>
    <w:rsid w:val="00D81536"/>
    <w:rsid w:val="00D82731"/>
    <w:rsid w:val="00D8518A"/>
    <w:rsid w:val="00D86905"/>
    <w:rsid w:val="00D90196"/>
    <w:rsid w:val="00D93655"/>
    <w:rsid w:val="00D93D6F"/>
    <w:rsid w:val="00D949C0"/>
    <w:rsid w:val="00D9555B"/>
    <w:rsid w:val="00D97AC2"/>
    <w:rsid w:val="00DA13B5"/>
    <w:rsid w:val="00DA307D"/>
    <w:rsid w:val="00DA40B5"/>
    <w:rsid w:val="00DA411A"/>
    <w:rsid w:val="00DA6850"/>
    <w:rsid w:val="00DA7F61"/>
    <w:rsid w:val="00DB53EF"/>
    <w:rsid w:val="00DB7380"/>
    <w:rsid w:val="00DB7C34"/>
    <w:rsid w:val="00DC0204"/>
    <w:rsid w:val="00DC113E"/>
    <w:rsid w:val="00DC4824"/>
    <w:rsid w:val="00DC73A0"/>
    <w:rsid w:val="00DC791F"/>
    <w:rsid w:val="00DD0C85"/>
    <w:rsid w:val="00DD176C"/>
    <w:rsid w:val="00DD4A45"/>
    <w:rsid w:val="00DD4F14"/>
    <w:rsid w:val="00DD50DA"/>
    <w:rsid w:val="00DD5F13"/>
    <w:rsid w:val="00DE1B32"/>
    <w:rsid w:val="00DE7536"/>
    <w:rsid w:val="00DF057B"/>
    <w:rsid w:val="00DF1337"/>
    <w:rsid w:val="00DF41EE"/>
    <w:rsid w:val="00DF4225"/>
    <w:rsid w:val="00DF48A8"/>
    <w:rsid w:val="00DF73AA"/>
    <w:rsid w:val="00E03E0F"/>
    <w:rsid w:val="00E0411F"/>
    <w:rsid w:val="00E04AC2"/>
    <w:rsid w:val="00E058E6"/>
    <w:rsid w:val="00E064EE"/>
    <w:rsid w:val="00E1071F"/>
    <w:rsid w:val="00E12AFE"/>
    <w:rsid w:val="00E20482"/>
    <w:rsid w:val="00E21FFF"/>
    <w:rsid w:val="00E23344"/>
    <w:rsid w:val="00E27266"/>
    <w:rsid w:val="00E277A2"/>
    <w:rsid w:val="00E30380"/>
    <w:rsid w:val="00E43814"/>
    <w:rsid w:val="00E44E23"/>
    <w:rsid w:val="00E46DFF"/>
    <w:rsid w:val="00E52DFB"/>
    <w:rsid w:val="00E564F1"/>
    <w:rsid w:val="00E615E4"/>
    <w:rsid w:val="00E63462"/>
    <w:rsid w:val="00E63DDD"/>
    <w:rsid w:val="00E64079"/>
    <w:rsid w:val="00E73B21"/>
    <w:rsid w:val="00E75E6B"/>
    <w:rsid w:val="00E77674"/>
    <w:rsid w:val="00E807E0"/>
    <w:rsid w:val="00E81765"/>
    <w:rsid w:val="00E8189B"/>
    <w:rsid w:val="00E83BDE"/>
    <w:rsid w:val="00E84E34"/>
    <w:rsid w:val="00E8569D"/>
    <w:rsid w:val="00E8611C"/>
    <w:rsid w:val="00E86C9C"/>
    <w:rsid w:val="00E87FEB"/>
    <w:rsid w:val="00E90B91"/>
    <w:rsid w:val="00E92120"/>
    <w:rsid w:val="00E948F7"/>
    <w:rsid w:val="00E94CB0"/>
    <w:rsid w:val="00E955F6"/>
    <w:rsid w:val="00E97F08"/>
    <w:rsid w:val="00EA08EB"/>
    <w:rsid w:val="00EA0EF0"/>
    <w:rsid w:val="00EA378C"/>
    <w:rsid w:val="00EA6FE1"/>
    <w:rsid w:val="00EA7934"/>
    <w:rsid w:val="00EB1E02"/>
    <w:rsid w:val="00EC6426"/>
    <w:rsid w:val="00ED08FD"/>
    <w:rsid w:val="00ED0F36"/>
    <w:rsid w:val="00ED141A"/>
    <w:rsid w:val="00ED3942"/>
    <w:rsid w:val="00EE06A9"/>
    <w:rsid w:val="00EE1D4A"/>
    <w:rsid w:val="00EE2633"/>
    <w:rsid w:val="00EF563D"/>
    <w:rsid w:val="00EF5E9F"/>
    <w:rsid w:val="00EF615A"/>
    <w:rsid w:val="00F01314"/>
    <w:rsid w:val="00F0404A"/>
    <w:rsid w:val="00F04A41"/>
    <w:rsid w:val="00F110EE"/>
    <w:rsid w:val="00F12027"/>
    <w:rsid w:val="00F139AC"/>
    <w:rsid w:val="00F14C9D"/>
    <w:rsid w:val="00F15BA1"/>
    <w:rsid w:val="00F2178B"/>
    <w:rsid w:val="00F27147"/>
    <w:rsid w:val="00F27B32"/>
    <w:rsid w:val="00F339E9"/>
    <w:rsid w:val="00F35C7D"/>
    <w:rsid w:val="00F40C83"/>
    <w:rsid w:val="00F4469C"/>
    <w:rsid w:val="00F468E2"/>
    <w:rsid w:val="00F51C53"/>
    <w:rsid w:val="00F52996"/>
    <w:rsid w:val="00F546B2"/>
    <w:rsid w:val="00F55E57"/>
    <w:rsid w:val="00F56353"/>
    <w:rsid w:val="00F56B25"/>
    <w:rsid w:val="00F65296"/>
    <w:rsid w:val="00F65AA8"/>
    <w:rsid w:val="00F65F82"/>
    <w:rsid w:val="00F70E45"/>
    <w:rsid w:val="00F72573"/>
    <w:rsid w:val="00F74ECB"/>
    <w:rsid w:val="00F765BD"/>
    <w:rsid w:val="00F77A17"/>
    <w:rsid w:val="00F81491"/>
    <w:rsid w:val="00F8225D"/>
    <w:rsid w:val="00F82411"/>
    <w:rsid w:val="00F836F3"/>
    <w:rsid w:val="00F86C8E"/>
    <w:rsid w:val="00F9224E"/>
    <w:rsid w:val="00F93483"/>
    <w:rsid w:val="00F93C68"/>
    <w:rsid w:val="00F948D2"/>
    <w:rsid w:val="00F952D0"/>
    <w:rsid w:val="00F95FDB"/>
    <w:rsid w:val="00FA054B"/>
    <w:rsid w:val="00FA43BF"/>
    <w:rsid w:val="00FA4D01"/>
    <w:rsid w:val="00FA54AF"/>
    <w:rsid w:val="00FA708B"/>
    <w:rsid w:val="00FB013B"/>
    <w:rsid w:val="00FB2438"/>
    <w:rsid w:val="00FB5B50"/>
    <w:rsid w:val="00FB60F3"/>
    <w:rsid w:val="00FC337C"/>
    <w:rsid w:val="00FD0F03"/>
    <w:rsid w:val="00FD212E"/>
    <w:rsid w:val="00FD331D"/>
    <w:rsid w:val="00FD5FD0"/>
    <w:rsid w:val="00FE10C2"/>
    <w:rsid w:val="00FE1675"/>
    <w:rsid w:val="00FE2D7E"/>
    <w:rsid w:val="00FE2F85"/>
    <w:rsid w:val="00FE760D"/>
    <w:rsid w:val="00FF250D"/>
    <w:rsid w:val="00FF2EDF"/>
    <w:rsid w:val="00FF43C6"/>
    <w:rsid w:val="00FF5A5B"/>
    <w:rsid w:val="00FF79C1"/>
    <w:rsid w:val="00FF7BB9"/>
    <w:rsid w:val="010D45B4"/>
    <w:rsid w:val="015D02FD"/>
    <w:rsid w:val="01723F34"/>
    <w:rsid w:val="026D435F"/>
    <w:rsid w:val="02A67539"/>
    <w:rsid w:val="02C14170"/>
    <w:rsid w:val="02F50DC3"/>
    <w:rsid w:val="033C2931"/>
    <w:rsid w:val="03637630"/>
    <w:rsid w:val="039E64A7"/>
    <w:rsid w:val="03C76A92"/>
    <w:rsid w:val="046A6A05"/>
    <w:rsid w:val="04A761D1"/>
    <w:rsid w:val="052B424D"/>
    <w:rsid w:val="05432CF5"/>
    <w:rsid w:val="06276C20"/>
    <w:rsid w:val="06326B74"/>
    <w:rsid w:val="06A36FDB"/>
    <w:rsid w:val="07C52DFD"/>
    <w:rsid w:val="08BA65D9"/>
    <w:rsid w:val="09710A62"/>
    <w:rsid w:val="0AFA4307"/>
    <w:rsid w:val="0CD77DB2"/>
    <w:rsid w:val="0D0140E3"/>
    <w:rsid w:val="0D167AE0"/>
    <w:rsid w:val="0F2A2EE2"/>
    <w:rsid w:val="0F2E5777"/>
    <w:rsid w:val="111C6628"/>
    <w:rsid w:val="115F4845"/>
    <w:rsid w:val="11CB508F"/>
    <w:rsid w:val="14053089"/>
    <w:rsid w:val="14225835"/>
    <w:rsid w:val="1455580F"/>
    <w:rsid w:val="14791C0E"/>
    <w:rsid w:val="15375FDE"/>
    <w:rsid w:val="15FA434D"/>
    <w:rsid w:val="166E073F"/>
    <w:rsid w:val="16BE1BD0"/>
    <w:rsid w:val="172760F1"/>
    <w:rsid w:val="174B09CA"/>
    <w:rsid w:val="17B80001"/>
    <w:rsid w:val="17FB4032"/>
    <w:rsid w:val="181228C9"/>
    <w:rsid w:val="18FA5DA4"/>
    <w:rsid w:val="195210D0"/>
    <w:rsid w:val="195B79A9"/>
    <w:rsid w:val="1AF03AFC"/>
    <w:rsid w:val="1B817763"/>
    <w:rsid w:val="1B9F2AB6"/>
    <w:rsid w:val="1C2D4DBB"/>
    <w:rsid w:val="1CC440A3"/>
    <w:rsid w:val="1D18730A"/>
    <w:rsid w:val="1F7D167F"/>
    <w:rsid w:val="1FDE55F9"/>
    <w:rsid w:val="2032212B"/>
    <w:rsid w:val="216B2D49"/>
    <w:rsid w:val="21DC62BB"/>
    <w:rsid w:val="227D003C"/>
    <w:rsid w:val="232B7BDA"/>
    <w:rsid w:val="234F65EF"/>
    <w:rsid w:val="240B2A35"/>
    <w:rsid w:val="24426FB3"/>
    <w:rsid w:val="248A3AA4"/>
    <w:rsid w:val="24C94CA1"/>
    <w:rsid w:val="27F542FC"/>
    <w:rsid w:val="293B5EE1"/>
    <w:rsid w:val="29601A56"/>
    <w:rsid w:val="297C7545"/>
    <w:rsid w:val="29F40C31"/>
    <w:rsid w:val="2C033CEF"/>
    <w:rsid w:val="2C3E462D"/>
    <w:rsid w:val="2D1263E8"/>
    <w:rsid w:val="2D2A32A6"/>
    <w:rsid w:val="2D4A488D"/>
    <w:rsid w:val="2D72579C"/>
    <w:rsid w:val="2E9D7C3A"/>
    <w:rsid w:val="2F366C87"/>
    <w:rsid w:val="30532875"/>
    <w:rsid w:val="30565478"/>
    <w:rsid w:val="30906C93"/>
    <w:rsid w:val="326D3790"/>
    <w:rsid w:val="33671F5C"/>
    <w:rsid w:val="3473038D"/>
    <w:rsid w:val="34C73423"/>
    <w:rsid w:val="35675626"/>
    <w:rsid w:val="369A0F8E"/>
    <w:rsid w:val="378E6499"/>
    <w:rsid w:val="380A0811"/>
    <w:rsid w:val="39217BC8"/>
    <w:rsid w:val="3A71283F"/>
    <w:rsid w:val="3AC7786B"/>
    <w:rsid w:val="3B9A2C4A"/>
    <w:rsid w:val="3BA33286"/>
    <w:rsid w:val="3C5B5CDC"/>
    <w:rsid w:val="3C640110"/>
    <w:rsid w:val="3D65247D"/>
    <w:rsid w:val="3DFC465E"/>
    <w:rsid w:val="3DFF085B"/>
    <w:rsid w:val="3FBF2865"/>
    <w:rsid w:val="3FD25A7C"/>
    <w:rsid w:val="404457F6"/>
    <w:rsid w:val="40F74D13"/>
    <w:rsid w:val="41F567E0"/>
    <w:rsid w:val="420635A0"/>
    <w:rsid w:val="420E07BD"/>
    <w:rsid w:val="420F052C"/>
    <w:rsid w:val="42305442"/>
    <w:rsid w:val="43731BCD"/>
    <w:rsid w:val="43FA3157"/>
    <w:rsid w:val="43FE41DC"/>
    <w:rsid w:val="441B27FA"/>
    <w:rsid w:val="44657BF1"/>
    <w:rsid w:val="447069BC"/>
    <w:rsid w:val="44965BC2"/>
    <w:rsid w:val="44BE19F5"/>
    <w:rsid w:val="44DE1165"/>
    <w:rsid w:val="452B34D3"/>
    <w:rsid w:val="45314B59"/>
    <w:rsid w:val="46460E65"/>
    <w:rsid w:val="46675F53"/>
    <w:rsid w:val="46D67310"/>
    <w:rsid w:val="47877113"/>
    <w:rsid w:val="47D52DF0"/>
    <w:rsid w:val="47D63224"/>
    <w:rsid w:val="49112B8B"/>
    <w:rsid w:val="4A397690"/>
    <w:rsid w:val="4B282E2B"/>
    <w:rsid w:val="4BAE3B02"/>
    <w:rsid w:val="4BFA450A"/>
    <w:rsid w:val="4C9C1514"/>
    <w:rsid w:val="4DA10139"/>
    <w:rsid w:val="4DCA30DB"/>
    <w:rsid w:val="4E807534"/>
    <w:rsid w:val="4EB47D2F"/>
    <w:rsid w:val="4F3A4577"/>
    <w:rsid w:val="4F3E4E6C"/>
    <w:rsid w:val="51C24107"/>
    <w:rsid w:val="528F74B2"/>
    <w:rsid w:val="5300350A"/>
    <w:rsid w:val="5410043B"/>
    <w:rsid w:val="54DB5319"/>
    <w:rsid w:val="55D91E11"/>
    <w:rsid w:val="563A2152"/>
    <w:rsid w:val="56612F1F"/>
    <w:rsid w:val="567858B8"/>
    <w:rsid w:val="56B63B84"/>
    <w:rsid w:val="571263D6"/>
    <w:rsid w:val="574F2C76"/>
    <w:rsid w:val="575C450A"/>
    <w:rsid w:val="577D5F2C"/>
    <w:rsid w:val="5835313B"/>
    <w:rsid w:val="58904F9C"/>
    <w:rsid w:val="59475DF2"/>
    <w:rsid w:val="595A693B"/>
    <w:rsid w:val="59894EE4"/>
    <w:rsid w:val="599325A8"/>
    <w:rsid w:val="5A2A5121"/>
    <w:rsid w:val="5ABF4D44"/>
    <w:rsid w:val="5BCE6FE9"/>
    <w:rsid w:val="5C8B0E60"/>
    <w:rsid w:val="5C982EF5"/>
    <w:rsid w:val="5CDC411F"/>
    <w:rsid w:val="5CFB09AF"/>
    <w:rsid w:val="5DCC6317"/>
    <w:rsid w:val="5DEF5136"/>
    <w:rsid w:val="5E4C4960"/>
    <w:rsid w:val="5F9A539F"/>
    <w:rsid w:val="609374AB"/>
    <w:rsid w:val="61407E25"/>
    <w:rsid w:val="614D5A91"/>
    <w:rsid w:val="61502193"/>
    <w:rsid w:val="635F2986"/>
    <w:rsid w:val="63C25566"/>
    <w:rsid w:val="65153B1E"/>
    <w:rsid w:val="65367633"/>
    <w:rsid w:val="653B338E"/>
    <w:rsid w:val="66167511"/>
    <w:rsid w:val="665506A9"/>
    <w:rsid w:val="66C10E96"/>
    <w:rsid w:val="689709E1"/>
    <w:rsid w:val="69750A27"/>
    <w:rsid w:val="6A0C002B"/>
    <w:rsid w:val="6A3944F2"/>
    <w:rsid w:val="6A997EF3"/>
    <w:rsid w:val="6AE92565"/>
    <w:rsid w:val="6BB94BE2"/>
    <w:rsid w:val="6C272C6C"/>
    <w:rsid w:val="6C4D0825"/>
    <w:rsid w:val="6C616704"/>
    <w:rsid w:val="6C855B65"/>
    <w:rsid w:val="6D070410"/>
    <w:rsid w:val="6D6B115E"/>
    <w:rsid w:val="6D6D5DBC"/>
    <w:rsid w:val="6DA97B68"/>
    <w:rsid w:val="6E3C5AC0"/>
    <w:rsid w:val="6E7B52DA"/>
    <w:rsid w:val="6ED240EF"/>
    <w:rsid w:val="6F43090A"/>
    <w:rsid w:val="6FBA519A"/>
    <w:rsid w:val="6FE0523A"/>
    <w:rsid w:val="702707C6"/>
    <w:rsid w:val="70673C18"/>
    <w:rsid w:val="706C73E6"/>
    <w:rsid w:val="70C25391"/>
    <w:rsid w:val="70D84AA0"/>
    <w:rsid w:val="730E3764"/>
    <w:rsid w:val="74DC353E"/>
    <w:rsid w:val="75073289"/>
    <w:rsid w:val="750A65A1"/>
    <w:rsid w:val="754C3DD4"/>
    <w:rsid w:val="75C9099D"/>
    <w:rsid w:val="762477D0"/>
    <w:rsid w:val="76DA74F2"/>
    <w:rsid w:val="784C1B73"/>
    <w:rsid w:val="784C5662"/>
    <w:rsid w:val="78FC0F0D"/>
    <w:rsid w:val="79BF7968"/>
    <w:rsid w:val="79D65138"/>
    <w:rsid w:val="7BC03124"/>
    <w:rsid w:val="7D4A271F"/>
    <w:rsid w:val="7E6B701B"/>
    <w:rsid w:val="7E9138C1"/>
    <w:rsid w:val="7F481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22"/>
    <w:qFormat/>
    <w:uiPriority w:val="0"/>
    <w:pPr>
      <w:ind w:firstLine="420" w:firstLineChars="200"/>
    </w:pPr>
    <w:rPr>
      <w:szCs w:val="24"/>
    </w:rPr>
  </w:style>
  <w:style w:type="paragraph" w:styleId="3">
    <w:name w:val="annotation text"/>
    <w:basedOn w:val="1"/>
    <w:link w:val="30"/>
    <w:unhideWhenUsed/>
    <w:qFormat/>
    <w:uiPriority w:val="99"/>
    <w:pPr>
      <w:jc w:val="left"/>
    </w:pPr>
  </w:style>
  <w:style w:type="paragraph" w:styleId="4">
    <w:name w:val="Body Text"/>
    <w:basedOn w:val="1"/>
    <w:link w:val="28"/>
    <w:unhideWhenUsed/>
    <w:qFormat/>
    <w:uiPriority w:val="99"/>
    <w:pPr>
      <w:widowControl/>
      <w:spacing w:line="360" w:lineRule="auto"/>
      <w:ind w:firstLine="200" w:firstLineChars="200"/>
    </w:pPr>
    <w:rPr>
      <w:rFonts w:ascii="仿宋" w:hAnsi="仿宋" w:eastAsia="仿宋" w:cs="Arial"/>
      <w:sz w:val="28"/>
      <w:szCs w:val="20"/>
    </w:rPr>
  </w:style>
  <w:style w:type="paragraph" w:styleId="5">
    <w:name w:val="Balloon Text"/>
    <w:basedOn w:val="1"/>
    <w:link w:val="19"/>
    <w:unhideWhenUsed/>
    <w:qFormat/>
    <w:uiPriority w:val="99"/>
    <w:rPr>
      <w:sz w:val="18"/>
      <w:szCs w:val="18"/>
    </w:rPr>
  </w:style>
  <w:style w:type="paragraph" w:styleId="6">
    <w:name w:val="footer"/>
    <w:basedOn w:val="1"/>
    <w:link w:val="20"/>
    <w:qFormat/>
    <w:uiPriority w:val="99"/>
    <w:pPr>
      <w:tabs>
        <w:tab w:val="center" w:pos="4153"/>
        <w:tab w:val="right" w:pos="8306"/>
      </w:tabs>
      <w:snapToGrid w:val="0"/>
      <w:jc w:val="left"/>
    </w:pPr>
    <w:rPr>
      <w:sz w:val="18"/>
      <w:szCs w:val="18"/>
    </w:rPr>
  </w:style>
  <w:style w:type="paragraph" w:styleId="7">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31"/>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annotation reference"/>
    <w:basedOn w:val="11"/>
    <w:semiHidden/>
    <w:unhideWhenUsed/>
    <w:qFormat/>
    <w:uiPriority w:val="99"/>
    <w:rPr>
      <w:sz w:val="21"/>
      <w:szCs w:val="21"/>
    </w:rPr>
  </w:style>
  <w:style w:type="paragraph" w:styleId="14">
    <w:name w:val="List Paragraph"/>
    <w:basedOn w:val="1"/>
    <w:qFormat/>
    <w:uiPriority w:val="34"/>
    <w:pPr>
      <w:ind w:firstLine="420" w:firstLineChars="200"/>
    </w:pPr>
  </w:style>
  <w:style w:type="paragraph" w:customStyle="1" w:styleId="15">
    <w:name w:val="二级标题"/>
    <w:basedOn w:val="1"/>
    <w:link w:val="21"/>
    <w:qFormat/>
    <w:uiPriority w:val="0"/>
    <w:pPr>
      <w:numPr>
        <w:ilvl w:val="1"/>
        <w:numId w:val="1"/>
      </w:numPr>
      <w:jc w:val="left"/>
      <w:outlineLvl w:val="1"/>
    </w:pPr>
    <w:rPr>
      <w:rFonts w:ascii="楷体_GB2312" w:hAnsi="华文楷体" w:eastAsia="楷体_GB2312"/>
      <w:bCs/>
      <w:sz w:val="28"/>
      <w:szCs w:val="28"/>
    </w:rPr>
  </w:style>
  <w:style w:type="paragraph" w:customStyle="1" w:styleId="16">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
    <w:name w:val="一级标题"/>
    <w:basedOn w:val="1"/>
    <w:link w:val="23"/>
    <w:qFormat/>
    <w:uiPriority w:val="0"/>
    <w:pPr>
      <w:numPr>
        <w:ilvl w:val="0"/>
        <w:numId w:val="1"/>
      </w:numPr>
      <w:jc w:val="left"/>
      <w:outlineLvl w:val="0"/>
    </w:pPr>
    <w:rPr>
      <w:rFonts w:ascii="黑体" w:hAnsi="宋体" w:eastAsia="黑体"/>
      <w:sz w:val="30"/>
      <w:szCs w:val="30"/>
    </w:rPr>
  </w:style>
  <w:style w:type="paragraph" w:customStyle="1" w:styleId="18">
    <w:name w:val="三级标题"/>
    <w:basedOn w:val="1"/>
    <w:link w:val="24"/>
    <w:qFormat/>
    <w:uiPriority w:val="0"/>
    <w:pPr>
      <w:numPr>
        <w:ilvl w:val="2"/>
        <w:numId w:val="1"/>
      </w:numPr>
      <w:jc w:val="left"/>
      <w:outlineLvl w:val="2"/>
    </w:pPr>
    <w:rPr>
      <w:rFonts w:ascii="仿宋_GB2312" w:hAnsi="仿宋" w:eastAsia="仿宋_GB2312"/>
      <w:b/>
      <w:sz w:val="28"/>
      <w:szCs w:val="28"/>
    </w:rPr>
  </w:style>
  <w:style w:type="character" w:customStyle="1" w:styleId="19">
    <w:name w:val="批注框文本 字符"/>
    <w:link w:val="5"/>
    <w:semiHidden/>
    <w:qFormat/>
    <w:uiPriority w:val="99"/>
    <w:rPr>
      <w:kern w:val="2"/>
      <w:sz w:val="18"/>
      <w:szCs w:val="18"/>
    </w:rPr>
  </w:style>
  <w:style w:type="character" w:customStyle="1" w:styleId="20">
    <w:name w:val="页脚 字符1"/>
    <w:link w:val="6"/>
    <w:qFormat/>
    <w:uiPriority w:val="0"/>
    <w:rPr>
      <w:sz w:val="18"/>
      <w:szCs w:val="18"/>
    </w:rPr>
  </w:style>
  <w:style w:type="character" w:customStyle="1" w:styleId="21">
    <w:name w:val="二级标题 字符"/>
    <w:link w:val="15"/>
    <w:qFormat/>
    <w:uiPriority w:val="0"/>
    <w:rPr>
      <w:rFonts w:ascii="楷体_GB2312" w:hAnsi="华文楷体" w:eastAsia="楷体_GB2312"/>
      <w:bCs/>
      <w:kern w:val="2"/>
      <w:sz w:val="28"/>
      <w:szCs w:val="28"/>
    </w:rPr>
  </w:style>
  <w:style w:type="character" w:customStyle="1" w:styleId="22">
    <w:name w:val="正文缩进 字符"/>
    <w:link w:val="2"/>
    <w:qFormat/>
    <w:uiPriority w:val="0"/>
    <w:rPr>
      <w:rFonts w:eastAsia="宋体"/>
      <w:kern w:val="2"/>
      <w:sz w:val="21"/>
      <w:szCs w:val="24"/>
      <w:lang w:val="en-US" w:eastAsia="zh-CN" w:bidi="ar-SA"/>
    </w:rPr>
  </w:style>
  <w:style w:type="character" w:customStyle="1" w:styleId="23">
    <w:name w:val="一级标题 字符"/>
    <w:link w:val="17"/>
    <w:qFormat/>
    <w:uiPriority w:val="0"/>
    <w:rPr>
      <w:rFonts w:ascii="黑体" w:hAnsi="宋体" w:eastAsia="黑体"/>
      <w:kern w:val="2"/>
      <w:sz w:val="30"/>
      <w:szCs w:val="30"/>
    </w:rPr>
  </w:style>
  <w:style w:type="character" w:customStyle="1" w:styleId="24">
    <w:name w:val="三级标题 字符"/>
    <w:link w:val="18"/>
    <w:qFormat/>
    <w:uiPriority w:val="0"/>
    <w:rPr>
      <w:rFonts w:ascii="仿宋_GB2312" w:hAnsi="仿宋" w:eastAsia="仿宋_GB2312"/>
      <w:b/>
      <w:kern w:val="2"/>
      <w:sz w:val="28"/>
      <w:szCs w:val="28"/>
    </w:rPr>
  </w:style>
  <w:style w:type="character" w:customStyle="1" w:styleId="25">
    <w:name w:val="页脚 字符"/>
    <w:qFormat/>
    <w:uiPriority w:val="99"/>
  </w:style>
  <w:style w:type="character" w:customStyle="1" w:styleId="26">
    <w:name w:val="页眉 字符"/>
    <w:link w:val="7"/>
    <w:qFormat/>
    <w:uiPriority w:val="0"/>
    <w:rPr>
      <w:sz w:val="18"/>
      <w:szCs w:val="18"/>
    </w:rPr>
  </w:style>
  <w:style w:type="paragraph" w:customStyle="1" w:styleId="27">
    <w:name w:val="正文-段落"/>
    <w:qFormat/>
    <w:uiPriority w:val="0"/>
    <w:pPr>
      <w:ind w:firstLine="560" w:firstLineChars="200"/>
      <w:jc w:val="both"/>
    </w:pPr>
    <w:rPr>
      <w:rFonts w:ascii="仿宋_GB2312" w:hAnsi="宋体" w:eastAsia="仿宋_GB2312" w:cs="宋体"/>
      <w:sz w:val="28"/>
      <w:szCs w:val="28"/>
      <w:lang w:val="en-GB" w:eastAsia="zh-CN" w:bidi="ar-SA"/>
    </w:rPr>
  </w:style>
  <w:style w:type="character" w:customStyle="1" w:styleId="28">
    <w:name w:val="正文文本 字符"/>
    <w:basedOn w:val="11"/>
    <w:link w:val="4"/>
    <w:qFormat/>
    <w:uiPriority w:val="99"/>
    <w:rPr>
      <w:rFonts w:ascii="仿宋" w:hAnsi="仿宋" w:eastAsia="仿宋" w:cs="Arial"/>
      <w:kern w:val="2"/>
      <w:sz w:val="28"/>
    </w:rPr>
  </w:style>
  <w:style w:type="table" w:customStyle="1" w:styleId="29">
    <w:name w:val="网格表 1 浅色1"/>
    <w:basedOn w:val="9"/>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30">
    <w:name w:val="批注文字 字符"/>
    <w:basedOn w:val="11"/>
    <w:link w:val="3"/>
    <w:qFormat/>
    <w:uiPriority w:val="99"/>
    <w:rPr>
      <w:rFonts w:ascii="Calibri" w:hAnsi="Calibri"/>
      <w:kern w:val="2"/>
      <w:sz w:val="21"/>
      <w:szCs w:val="22"/>
    </w:rPr>
  </w:style>
  <w:style w:type="character" w:customStyle="1" w:styleId="31">
    <w:name w:val="批注主题 字符"/>
    <w:basedOn w:val="30"/>
    <w:link w:val="8"/>
    <w:semiHidden/>
    <w:qFormat/>
    <w:uiPriority w:val="99"/>
    <w:rPr>
      <w:rFonts w:ascii="Calibri" w:hAnsi="Calibri"/>
      <w:b/>
      <w:bCs/>
      <w:kern w:val="2"/>
      <w:sz w:val="21"/>
      <w:szCs w:val="22"/>
    </w:rPr>
  </w:style>
  <w:style w:type="character" w:customStyle="1" w:styleId="32">
    <w:name w:val="fontstyle01"/>
    <w:basedOn w:val="11"/>
    <w:qFormat/>
    <w:uiPriority w:val="0"/>
    <w:rPr>
      <w:rFonts w:hint="eastAsia" w:ascii="宋体" w:hAnsi="宋体" w:eastAsia="宋体"/>
      <w:color w:val="000000"/>
      <w:sz w:val="22"/>
      <w:szCs w:val="22"/>
    </w:rPr>
  </w:style>
  <w:style w:type="paragraph" w:customStyle="1" w:styleId="33">
    <w:name w:val="修订1"/>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E718FA-37C8-43AD-9EC5-D6A228CFBF93}">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17</Pages>
  <Words>1300</Words>
  <Characters>7414</Characters>
  <Lines>61</Lines>
  <Paragraphs>17</Paragraphs>
  <TotalTime>22</TotalTime>
  <ScaleCrop>false</ScaleCrop>
  <LinksUpToDate>false</LinksUpToDate>
  <CharactersWithSpaces>8697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2020-10-27T09:36:00Z</dcterms:created>
  <dc:creator>熊剑锋</dc:creator>
  <cp:lastModifiedBy>周孟华</cp:lastModifiedBy>
  <cp:lastPrinted>2014-06-09T07:23:00Z</cp:lastPrinted>
  <dcterms:modified xsi:type="dcterms:W3CDTF">2020-11-05T08:13:24Z</dcterms:modified>
  <dc:title>福田区政府采购申报办法（暂行）</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_2015_ms_pID_725343">
    <vt:lpwstr>(2)B9KmGeBIZNZ56ktoVAuXZ2SCahwUG5WGTcYmbouQZRfNxr0GKlkMDS8fnp2Ng76FhkuzHoWE_x000d_
Dop8g8vJZZFO8zgHQe+J+c1ES/r5hHHXdZcahLXGGz3lWdJMiB26n9ToJ/2A6dA7crZ5UR6n_x000d_
CVSnV3EVPAR+Y7YenyIVnIU/Z0ZqoeT2aTBIGrcZ90r/dmw1kqzgFt/G3GHNmV41DNnlY5OK_x000d_
3IwXjXrGfeiUCZHCMq</vt:lpwstr>
  </property>
  <property fmtid="{D5CDD505-2E9C-101B-9397-08002B2CF9AE}" pid="4" name="_2015_ms_pID_7253431">
    <vt:lpwstr>aRA2G8KkoeMFINMZk8+/JnasDdxf7sH9hAkzOQw0X6Ha+oJwOk5hp1_x000d_
w9yXzD8D0uNzGwkdJ9aUT2l03nUuMEM2aBo6q16Nuo7DrbrBVHJLLqGLiQeLRC+5Xhe1IiVo_x000d_
lOu/n5Nxf1L2o78Ns/LbvQI2TuQIydUhn4xgGci/3T9+nTq26bPXDRNQfEinq+Jk0g4=</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1559728758</vt:lpwstr>
  </property>
  <property fmtid="{D5CDD505-2E9C-101B-9397-08002B2CF9AE}" pid="9" name="ribbonExt">
    <vt:lpwstr>{"WPSExtOfficeTab":{"OnGetEnabled":false,"OnGetVisible":false}}</vt:lpwstr>
  </property>
</Properties>
</file>